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采购需求</w:t>
      </w:r>
    </w:p>
    <w:p>
      <w:pPr>
        <w:pStyle w:val="2"/>
        <w:jc w:val="center"/>
        <w:outlineLvl w:val="0"/>
        <w:rPr>
          <w:rFonts w:hint="default" w:eastAsiaTheme="minorEastAsia"/>
          <w:b w:val="0"/>
          <w:bCs/>
          <w:i/>
          <w:iCs/>
          <w:color w:val="auto"/>
          <w:highlight w:val="none"/>
          <w:lang w:val="en-US" w:eastAsia="zh-CN"/>
        </w:rPr>
      </w:pPr>
      <w:r>
        <w:rPr>
          <w:rFonts w:hint="eastAsia" w:asciiTheme="minorEastAsia" w:hAnsiTheme="minorEastAsia" w:eastAsiaTheme="minorEastAsia"/>
          <w:b w:val="0"/>
          <w:bCs/>
          <w:i/>
          <w:iCs/>
          <w:color w:val="auto"/>
          <w:sz w:val="28"/>
          <w:highlight w:val="none"/>
          <w:lang w:eastAsia="zh-CN"/>
        </w:rPr>
        <w:t>（</w:t>
      </w:r>
      <w:r>
        <w:rPr>
          <w:rFonts w:hint="eastAsia" w:asciiTheme="minorEastAsia" w:hAnsiTheme="minorEastAsia" w:eastAsiaTheme="minorEastAsia"/>
          <w:b w:val="0"/>
          <w:bCs/>
          <w:i/>
          <w:iCs/>
          <w:color w:val="auto"/>
          <w:sz w:val="28"/>
          <w:highlight w:val="none"/>
          <w:lang w:val="en-US" w:eastAsia="zh-CN"/>
        </w:rPr>
        <w:t>仅供参考，具体以磋商文件为准）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pPr>
        <w:spacing w:line="360" w:lineRule="auto"/>
        <w:ind w:firstLine="43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本说明中提出的技术方案仅为参考，如无明确限制，供应商可以进行优化，提供满足用户实际需要的更优（或者性能实质上不低于的）服务方案，且此方案须经磋商小组评审认可</w:t>
      </w:r>
      <w:r>
        <w:rPr>
          <w:rFonts w:hint="eastAsia"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2.下列采购需求中：</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（1）如属于《节能产品政府采购品目清单》中政府强制采购的节能产品，则</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所投产品须具有市场监管总局公布的《参与实施政府采购节能产品认证机构目录》中的认证机构出具的、处于有效期内的节能产品认证证书。</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（2）如涉及商品包装和快递包装，</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3.如采购人允许采用分包方式履行合同的，应当明确可以分包履行的相关内容。</w:t>
      </w:r>
    </w:p>
    <w:p>
      <w:pPr>
        <w:spacing w:line="360" w:lineRule="auto"/>
        <w:ind w:firstLine="437"/>
        <w:rPr>
          <w:rFonts w:asciiTheme="minorEastAsia" w:hAnsiTheme="minorEastAsia" w:eastAsiaTheme="minorEastAsia"/>
          <w:color w:val="auto"/>
          <w:sz w:val="24"/>
          <w:highlight w:val="none"/>
        </w:rPr>
      </w:pPr>
    </w:p>
    <w:p>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一、采购需求前附表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3"/>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bookmarkStart w:id="0" w:name="_Hlk16461016"/>
            <w:r>
              <w:rPr>
                <w:rFonts w:hint="eastAsia" w:ascii="宋体" w:hAnsi="宋体" w:eastAsia="宋体"/>
                <w:b/>
                <w:color w:val="auto"/>
                <w:kern w:val="2"/>
                <w:highlight w:val="none"/>
              </w:rPr>
              <w:t>序号</w:t>
            </w:r>
          </w:p>
        </w:tc>
        <w:tc>
          <w:tcPr>
            <w:tcW w:w="1192" w:type="pct"/>
            <w:vAlign w:val="center"/>
          </w:tcPr>
          <w:p>
            <w:pPr>
              <w:pStyle w:val="1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pPr>
              <w:pStyle w:val="1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pPr>
              <w:pStyle w:val="1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pPr>
              <w:pStyle w:val="14"/>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lang w:val="en-US" w:eastAsia="zh-CN"/>
              </w:rPr>
              <w:t>合同签订后，根据每个月的实际配送量计算当月配送额，经甲乙双方确认结算金额后，据实支付每个月配送货款。合同周期内支付总金额不超过成交总价。续签合同参照执行。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pPr>
              <w:pStyle w:val="1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vAlign w:val="center"/>
          </w:tcPr>
          <w:p>
            <w:pPr>
              <w:pStyle w:val="1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rPr>
              <w:t>合肥市，采购人指定地点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pPr>
              <w:pStyle w:val="1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7" w:type="pct"/>
            <w:vAlign w:val="center"/>
          </w:tcPr>
          <w:p>
            <w:pPr>
              <w:pStyle w:val="14"/>
              <w:widowControl w:val="0"/>
              <w:spacing w:before="0" w:beforeAutospacing="0" w:after="0" w:afterAutospacing="0" w:line="360" w:lineRule="auto"/>
              <w:jc w:val="both"/>
              <w:rPr>
                <w:rFonts w:hint="default" w:ascii="宋体" w:hAnsi="宋体" w:eastAsia="宋体"/>
                <w:b w:val="0"/>
                <w:color w:val="auto"/>
                <w:sz w:val="24"/>
                <w:highlight w:val="none"/>
                <w:u w:val="none"/>
                <w:lang w:val="en-US" w:eastAsia="zh-CN"/>
              </w:rPr>
            </w:pPr>
            <w:r>
              <w:rPr>
                <w:rFonts w:hint="eastAsia" w:ascii="宋体" w:hAnsi="宋体" w:eastAsia="宋体"/>
                <w:b w:val="0"/>
                <w:color w:val="auto"/>
                <w:sz w:val="24"/>
                <w:highlight w:val="none"/>
                <w:u w:val="none"/>
              </w:rPr>
              <w:t>合同生效后</w:t>
            </w:r>
            <w:r>
              <w:rPr>
                <w:rFonts w:hint="eastAsia" w:ascii="宋体" w:hAnsi="宋体" w:eastAsia="宋体"/>
                <w:b w:val="0"/>
                <w:color w:val="auto"/>
                <w:sz w:val="24"/>
                <w:highlight w:val="none"/>
                <w:u w:val="none"/>
                <w:lang w:val="en-US" w:eastAsia="zh-CN"/>
              </w:rPr>
              <w:t>一年</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合同到期前，经考核合格后，在年度预算能够保障的前提下，可续签累计不超过3年的采购合同，最多续签2次，合同一年一签</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合同综合单价不变，最终结算总价不得超过成交总价。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pPr>
              <w:pStyle w:val="14"/>
              <w:widowControl w:val="0"/>
              <w:spacing w:before="0" w:beforeAutospacing="0" w:after="0" w:afterAutospacing="0" w:line="360" w:lineRule="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color w:val="auto"/>
                <w:sz w:val="24"/>
                <w:highlight w:val="none"/>
              </w:rPr>
              <w:t>医疗器械注册证</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或备案凭证）</w:t>
            </w:r>
          </w:p>
        </w:tc>
        <w:tc>
          <w:tcPr>
            <w:tcW w:w="3217" w:type="pct"/>
            <w:vAlign w:val="center"/>
          </w:tcPr>
          <w:p>
            <w:pPr>
              <w:pStyle w:val="14"/>
              <w:spacing w:before="0" w:beforeAutospacing="0" w:after="0" w:afterAutospacing="0" w:line="360" w:lineRule="auto"/>
              <w:jc w:val="left"/>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olor w:val="auto"/>
                <w:sz w:val="24"/>
                <w:highlight w:val="none"/>
              </w:rPr>
              <w:t>所</w:t>
            </w:r>
            <w:r>
              <w:rPr>
                <w:rFonts w:hint="eastAsia" w:ascii="宋体" w:hAnsi="宋体" w:eastAsia="宋体"/>
                <w:color w:val="auto"/>
                <w:sz w:val="24"/>
                <w:highlight w:val="none"/>
                <w:lang w:val="en-US" w:eastAsia="zh-CN"/>
              </w:rPr>
              <w:t>配送</w:t>
            </w:r>
            <w:r>
              <w:rPr>
                <w:rFonts w:hint="eastAsia" w:ascii="宋体" w:hAnsi="宋体" w:eastAsia="宋体"/>
                <w:color w:val="auto"/>
                <w:sz w:val="24"/>
                <w:highlight w:val="none"/>
              </w:rPr>
              <w:t>医疗器械须具有医疗器械注册证</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或备案凭证）</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文件中须提供证书</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或备案凭证）</w:t>
            </w:r>
            <w:r>
              <w:rPr>
                <w:rFonts w:hint="eastAsia" w:ascii="宋体" w:hAnsi="宋体" w:eastAsia="宋体"/>
                <w:color w:val="auto"/>
                <w:sz w:val="24"/>
                <w:highlight w:val="none"/>
              </w:rPr>
              <w:t>扫描件，否则</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3"/>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p>
        </w:tc>
        <w:tc>
          <w:tcPr>
            <w:tcW w:w="1192" w:type="pct"/>
            <w:vAlign w:val="center"/>
          </w:tcPr>
          <w:p>
            <w:pPr>
              <w:pStyle w:val="14"/>
              <w:widowControl w:val="0"/>
              <w:spacing w:before="0" w:beforeAutospacing="0" w:after="0" w:afterAutospacing="0" w:line="360" w:lineRule="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配送产品</w:t>
            </w:r>
            <w:r>
              <w:rPr>
                <w:rFonts w:hint="eastAsia" w:ascii="宋体" w:hAnsi="宋体" w:eastAsia="宋体"/>
                <w:color w:val="auto"/>
                <w:sz w:val="24"/>
                <w:highlight w:val="none"/>
              </w:rPr>
              <w:t>免费质保期</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即产品有效期</w:t>
            </w:r>
            <w:r>
              <w:rPr>
                <w:rFonts w:hint="eastAsia" w:ascii="宋体" w:hAnsi="宋体" w:eastAsia="宋体"/>
                <w:color w:val="auto"/>
                <w:sz w:val="24"/>
                <w:highlight w:val="none"/>
                <w:lang w:eastAsia="zh-CN"/>
              </w:rPr>
              <w:t>）</w:t>
            </w:r>
          </w:p>
        </w:tc>
        <w:tc>
          <w:tcPr>
            <w:tcW w:w="3217" w:type="pct"/>
            <w:vAlign w:val="center"/>
          </w:tcPr>
          <w:p>
            <w:pPr>
              <w:pStyle w:val="14"/>
              <w:spacing w:before="0" w:beforeAutospacing="0" w:after="0" w:afterAutospacing="0" w:line="360" w:lineRule="auto"/>
              <w:jc w:val="both"/>
              <w:rPr>
                <w:rFonts w:hint="eastAsia" w:ascii="宋体" w:hAnsi="宋体" w:eastAsia="宋体"/>
                <w:color w:val="auto"/>
                <w:sz w:val="24"/>
                <w:highlight w:val="none"/>
                <w:lang w:val="en-US" w:eastAsia="zh-CN"/>
              </w:rPr>
            </w:pPr>
            <w:r>
              <w:rPr>
                <w:rFonts w:hint="eastAsia" w:ascii="宋体" w:hAnsi="宋体" w:eastAsia="宋体"/>
                <w:b w:val="0"/>
                <w:bCs w:val="0"/>
                <w:color w:val="auto"/>
                <w:sz w:val="24"/>
                <w:highlight w:val="none"/>
                <w:lang w:val="en-US" w:eastAsia="zh-CN"/>
              </w:rPr>
              <w:t>每次配送的产品剩余有效期不得少于货物标识有效期的2/3(如货物有效期为3年，则剩余有效期不少于2年)。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3"/>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6</w:t>
            </w:r>
          </w:p>
        </w:tc>
        <w:tc>
          <w:tcPr>
            <w:tcW w:w="1192" w:type="pct"/>
            <w:vAlign w:val="center"/>
          </w:tcPr>
          <w:p>
            <w:pPr>
              <w:pStyle w:val="14"/>
              <w:widowControl w:val="0"/>
              <w:spacing w:before="0" w:beforeAutospacing="0" w:after="0" w:afterAutospacing="0" w:line="360" w:lineRule="auto"/>
              <w:rPr>
                <w:rFonts w:hint="eastAsia" w:ascii="宋体" w:hAnsi="宋体" w:eastAsia="宋体"/>
                <w:color w:val="auto"/>
                <w:sz w:val="24"/>
                <w:highlight w:val="none"/>
                <w:lang w:val="en-US" w:eastAsia="zh-CN"/>
              </w:rPr>
            </w:pPr>
            <w:r>
              <w:rPr>
                <w:rFonts w:hint="eastAsia" w:ascii="宋体" w:hAnsi="宋体" w:eastAsia="宋体"/>
                <w:b w:val="0"/>
                <w:color w:val="auto"/>
                <w:sz w:val="24"/>
                <w:highlight w:val="none"/>
              </w:rPr>
              <w:t>本项目采购标的名称及所属行业</w:t>
            </w:r>
          </w:p>
        </w:tc>
        <w:tc>
          <w:tcPr>
            <w:tcW w:w="3217" w:type="pct"/>
            <w:vAlign w:val="center"/>
          </w:tcPr>
          <w:p>
            <w:pPr>
              <w:spacing w:line="360" w:lineRule="auto"/>
              <w:jc w:val="left"/>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标的名称：合肥市妇幼保健院子痫前期检测试剂配送服务</w:t>
            </w:r>
          </w:p>
          <w:p>
            <w:pPr>
              <w:spacing w:line="360" w:lineRule="auto"/>
              <w:jc w:val="left"/>
              <w:rPr>
                <w:rFonts w:hint="eastAsia" w:ascii="宋体" w:hAnsi="宋体" w:eastAsia="宋体"/>
                <w:color w:val="auto"/>
                <w:sz w:val="24"/>
                <w:highlight w:val="none"/>
                <w:lang w:val="en-US" w:eastAsia="zh-CN"/>
              </w:rPr>
            </w:pPr>
            <w:r>
              <w:rPr>
                <w:rFonts w:hint="eastAsia" w:ascii="宋体" w:hAnsi="宋体" w:eastAsia="宋体"/>
                <w:bCs/>
                <w:color w:val="auto"/>
                <w:sz w:val="24"/>
                <w:szCs w:val="24"/>
                <w:highlight w:val="none"/>
                <w:lang w:val="en-US" w:eastAsia="zh-CN"/>
              </w:rPr>
              <w:t>所属行业：批发业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3"/>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7</w:t>
            </w:r>
          </w:p>
        </w:tc>
        <w:tc>
          <w:tcPr>
            <w:tcW w:w="1192" w:type="pct"/>
            <w:vAlign w:val="center"/>
          </w:tcPr>
          <w:p>
            <w:pPr>
              <w:pStyle w:val="1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color w:val="auto"/>
                <w:sz w:val="24"/>
                <w:highlight w:val="none"/>
                <w:lang w:val="en-US" w:eastAsia="zh-CN"/>
              </w:rPr>
              <w:t>“三、配送产品要求”中技术参数及要求标识符号说明</w:t>
            </w:r>
          </w:p>
        </w:tc>
        <w:tc>
          <w:tcPr>
            <w:tcW w:w="3217" w:type="pct"/>
            <w:vAlign w:val="center"/>
          </w:tcPr>
          <w:p>
            <w:pPr>
              <w:pStyle w:val="14"/>
              <w:numPr>
                <w:ilvl w:val="0"/>
                <w:numId w:val="1"/>
              </w:numPr>
              <w:spacing w:before="0" w:beforeAutospacing="0" w:after="0" w:afterAutospacing="0" w:line="360" w:lineRule="auto"/>
              <w:jc w:val="both"/>
              <w:rPr>
                <w:rFonts w:hint="eastAsia" w:ascii="宋体" w:hAnsi="宋体" w:eastAsia="宋体"/>
                <w:bCs/>
                <w:color w:val="auto"/>
                <w:sz w:val="24"/>
                <w:szCs w:val="24"/>
                <w:highlight w:val="none"/>
                <w:lang w:val="en-US" w:eastAsia="zh-CN"/>
              </w:rPr>
            </w:pPr>
            <w:r>
              <w:rPr>
                <w:rFonts w:hint="eastAsia" w:ascii="宋体" w:hAnsi="宋体" w:eastAsia="宋体" w:cs="宋体"/>
                <w:b/>
                <w:bCs/>
                <w:color w:val="auto"/>
                <w:sz w:val="24"/>
                <w:szCs w:val="18"/>
                <w:highlight w:val="none"/>
                <w:lang w:val="en-US" w:eastAsia="zh-CN"/>
              </w:rPr>
              <w:t>标注</w:t>
            </w:r>
            <w:r>
              <w:rPr>
                <w:rFonts w:hint="eastAsia" w:ascii="宋体" w:hAnsi="宋体" w:eastAsia="宋体" w:cs="宋体"/>
                <w:b/>
                <w:bCs/>
                <w:color w:val="auto"/>
                <w:sz w:val="24"/>
                <w:szCs w:val="18"/>
                <w:highlight w:val="none"/>
              </w:rPr>
              <w:t>★</w:t>
            </w:r>
            <w:r>
              <w:rPr>
                <w:rFonts w:hint="eastAsia" w:ascii="宋体" w:hAnsi="宋体" w:eastAsia="宋体" w:cs="宋体"/>
                <w:b/>
                <w:bCs/>
                <w:color w:val="auto"/>
                <w:sz w:val="24"/>
                <w:szCs w:val="18"/>
                <w:highlight w:val="none"/>
                <w:lang w:val="en-US" w:eastAsia="zh-CN"/>
              </w:rPr>
              <w:t>条款为评分条款，具体评分标准详见第四章评审方法和标准。</w:t>
            </w:r>
            <w:r>
              <w:rPr>
                <w:rFonts w:hint="eastAsia" w:ascii="宋体" w:hAnsi="宋体" w:eastAsia="宋体" w:cs="宋体"/>
                <w:b/>
                <w:color w:val="auto"/>
                <w:sz w:val="24"/>
                <w:szCs w:val="24"/>
                <w:highlight w:val="none"/>
              </w:rPr>
              <w:t>标注“</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”的条款，</w:t>
            </w:r>
            <w:r>
              <w:rPr>
                <w:rFonts w:hint="eastAsia" w:ascii="宋体" w:hAnsi="宋体" w:eastAsia="宋体" w:cs="宋体"/>
                <w:b/>
                <w:color w:val="auto"/>
                <w:sz w:val="24"/>
                <w:szCs w:val="24"/>
                <w:highlight w:val="none"/>
                <w:lang w:val="en-US" w:eastAsia="zh-CN"/>
              </w:rPr>
              <w:t>响应文件</w:t>
            </w:r>
            <w:r>
              <w:rPr>
                <w:rFonts w:hint="eastAsia" w:ascii="宋体" w:hAnsi="宋体" w:eastAsia="宋体" w:cs="宋体"/>
                <w:b/>
                <w:color w:val="auto"/>
                <w:sz w:val="24"/>
                <w:szCs w:val="24"/>
                <w:highlight w:val="none"/>
              </w:rPr>
              <w:t>中提供能反映其所在条款的相关证明材料扫描件，证明材料包括医疗器械注册证、制造商公开发布的印刷技术资料、官网截图、功能界面截图、实物图片、经评标委员会评审认可的第三方证明材料</w:t>
            </w:r>
            <w:r>
              <w:rPr>
                <w:rFonts w:hint="eastAsia" w:ascii="宋体" w:hAnsi="宋体" w:eastAsia="宋体" w:cs="宋体"/>
                <w:b/>
                <w:color w:val="auto"/>
                <w:sz w:val="24"/>
                <w:szCs w:val="24"/>
                <w:highlight w:val="none"/>
                <w:lang w:val="en-US" w:eastAsia="zh-CN"/>
              </w:rPr>
              <w:t>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提供其中之一即可</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，否则视为负偏离（为便于评审，建议</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对证明材料中的关键参数进行标注）</w:t>
            </w:r>
            <w:r>
              <w:rPr>
                <w:rFonts w:hint="eastAsia" w:ascii="宋体" w:hAnsi="宋体" w:eastAsia="宋体" w:cs="宋体"/>
                <w:b/>
                <w:color w:val="auto"/>
                <w:sz w:val="24"/>
                <w:szCs w:val="24"/>
                <w:highlight w:val="none"/>
                <w:lang w:eastAsia="zh-CN"/>
              </w:rPr>
              <w:t>。</w:t>
            </w:r>
          </w:p>
          <w:p>
            <w:pPr>
              <w:pStyle w:val="14"/>
              <w:numPr>
                <w:ilvl w:val="0"/>
                <w:numId w:val="1"/>
              </w:numPr>
              <w:spacing w:before="0" w:beforeAutospacing="0" w:after="0" w:afterAutospacing="0" w:line="360" w:lineRule="auto"/>
              <w:jc w:val="both"/>
              <w:rPr>
                <w:rFonts w:hint="eastAsia" w:ascii="宋体" w:hAnsi="宋体" w:eastAsia="宋体"/>
                <w:bCs/>
                <w:color w:val="auto"/>
                <w:sz w:val="24"/>
                <w:szCs w:val="24"/>
                <w:highlight w:val="none"/>
                <w:lang w:val="en-US" w:eastAsia="zh-CN"/>
              </w:rPr>
            </w:pPr>
            <w:r>
              <w:rPr>
                <w:rFonts w:hint="eastAsia" w:ascii="宋体" w:hAnsi="宋体" w:eastAsia="宋体" w:cs="宋体"/>
                <w:b/>
                <w:bCs/>
                <w:i w:val="0"/>
                <w:iCs w:val="0"/>
                <w:color w:val="auto"/>
                <w:spacing w:val="0"/>
                <w:w w:val="100"/>
                <w:kern w:val="2"/>
                <w:sz w:val="24"/>
                <w:szCs w:val="24"/>
                <w:highlight w:val="none"/>
                <w:vertAlign w:val="baseline"/>
                <w:lang w:val="en-US" w:eastAsia="zh-CN" w:bidi="ar-SA"/>
              </w:rPr>
              <w:t>针对无标识条款（未</w:t>
            </w:r>
            <w:r>
              <w:rPr>
                <w:rFonts w:hint="eastAsia" w:ascii="宋体" w:hAnsi="宋体" w:eastAsia="宋体" w:cs="宋体"/>
                <w:b/>
                <w:bCs/>
                <w:color w:val="auto"/>
                <w:sz w:val="24"/>
                <w:szCs w:val="18"/>
                <w:highlight w:val="none"/>
                <w:lang w:val="en-US" w:eastAsia="zh-CN"/>
              </w:rPr>
              <w:t>标注</w:t>
            </w:r>
            <w:r>
              <w:rPr>
                <w:rFonts w:hint="eastAsia" w:ascii="宋体" w:hAnsi="宋体" w:eastAsia="宋体" w:cs="宋体"/>
                <w:b/>
                <w:bCs/>
                <w:color w:val="auto"/>
                <w:sz w:val="24"/>
                <w:szCs w:val="18"/>
                <w:highlight w:val="none"/>
              </w:rPr>
              <w:t>★</w:t>
            </w:r>
            <w:r>
              <w:rPr>
                <w:rFonts w:hint="eastAsia" w:ascii="宋体" w:hAnsi="宋体" w:eastAsia="宋体" w:cs="宋体"/>
                <w:b/>
                <w:bCs/>
                <w:color w:val="auto"/>
                <w:sz w:val="24"/>
                <w:szCs w:val="18"/>
                <w:highlight w:val="none"/>
                <w:lang w:val="en-US" w:eastAsia="zh-CN"/>
              </w:rPr>
              <w:t>条款），</w:t>
            </w:r>
            <w:r>
              <w:rPr>
                <w:rFonts w:hint="eastAsia" w:ascii="宋体" w:hAnsi="宋体" w:eastAsia="宋体" w:cs="宋体"/>
                <w:b/>
                <w:bCs/>
                <w:i w:val="0"/>
                <w:iCs w:val="0"/>
                <w:color w:val="auto"/>
                <w:spacing w:val="0"/>
                <w:w w:val="100"/>
                <w:kern w:val="2"/>
                <w:sz w:val="24"/>
                <w:szCs w:val="24"/>
                <w:highlight w:val="none"/>
                <w:vertAlign w:val="baseline"/>
                <w:lang w:val="en-US" w:eastAsia="zh-CN" w:bidi="ar-SA"/>
              </w:rPr>
              <w:t>供应商须在响应文件中提供承诺，承诺无标识项完全满足采购文件要求，如履约验收期间所配送产品不满足采购文件要求，成交供应商承担由此产生的一切后果及责任（承诺函格式详见投标文件格式）。响应文件中未提供相应承诺或承诺的内容不满足要求的，响应无效。</w:t>
            </w:r>
          </w:p>
        </w:tc>
      </w:tr>
      <w:bookmarkEnd w:id="0"/>
    </w:tbl>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outlineLvl w:val="1"/>
        <w:rPr>
          <w:rFonts w:hint="eastAsia" w:asciiTheme="minorEastAsia" w:hAnsiTheme="minorEastAsia" w:eastAsiaTheme="minorEastAsia" w:cstheme="minorEastAsia"/>
          <w:sz w:val="24"/>
          <w:szCs w:val="24"/>
          <w:highlight w:val="none"/>
          <w:lang w:val="en-US"/>
        </w:rPr>
      </w:pPr>
      <w:bookmarkStart w:id="1" w:name="_Toc24763"/>
    </w:p>
    <w:p>
      <w:pPr>
        <w:keepNext w:val="0"/>
        <w:keepLines w:val="0"/>
        <w:pageBreakBefore w:val="0"/>
        <w:widowControl w:val="0"/>
        <w:numPr>
          <w:ilvl w:val="0"/>
          <w:numId w:val="2"/>
        </w:numPr>
        <w:kinsoku w:val="0"/>
        <w:wordWrap/>
        <w:overflowPunct w:val="0"/>
        <w:topLinePunct w:val="0"/>
        <w:autoSpaceDE w:val="0"/>
        <w:autoSpaceDN w:val="0"/>
        <w:bidi w:val="0"/>
        <w:adjustRightInd w:val="0"/>
        <w:snapToGrid/>
        <w:spacing w:line="360" w:lineRule="auto"/>
        <w:ind w:firstLine="0"/>
        <w:outlineLvl w:val="1"/>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b/>
          <w:sz w:val="24"/>
          <w:szCs w:val="24"/>
          <w:highlight w:val="none"/>
          <w:lang w:val="en-US" w:eastAsia="zh-CN"/>
        </w:rPr>
        <w:t>配送产品要求</w:t>
      </w:r>
    </w:p>
    <w:p>
      <w:pPr>
        <w:pStyle w:val="8"/>
        <w:keepNext w:val="0"/>
        <w:keepLines w:val="0"/>
        <w:pageBreakBefore w:val="0"/>
        <w:wordWrap/>
        <w:topLinePunct w:val="0"/>
        <w:bidi w:val="0"/>
        <w:snapToGrid/>
        <w:spacing w:after="0"/>
        <w:outlineLvl w:val="2"/>
        <w:rPr>
          <w:rFonts w:hint="default"/>
          <w:highlight w:val="none"/>
          <w:lang w:val="en-US"/>
        </w:rPr>
      </w:pPr>
      <w:r>
        <w:rPr>
          <w:rFonts w:hint="eastAsia" w:asciiTheme="minorEastAsia" w:hAnsiTheme="minorEastAsia" w:cstheme="minorEastAsia"/>
          <w:b/>
          <w:sz w:val="24"/>
          <w:szCs w:val="24"/>
          <w:highlight w:val="none"/>
          <w:lang w:val="en-US" w:eastAsia="zh-CN"/>
        </w:rPr>
        <w:t>（一）配送产品清单</w:t>
      </w:r>
    </w:p>
    <w:tbl>
      <w:tblPr>
        <w:tblStyle w:val="10"/>
        <w:tblW w:w="498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
        <w:gridCol w:w="3728"/>
        <w:gridCol w:w="1430"/>
        <w:gridCol w:w="930"/>
        <w:gridCol w:w="1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8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219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产品名称</w:t>
            </w:r>
          </w:p>
        </w:tc>
        <w:tc>
          <w:tcPr>
            <w:tcW w:w="84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预估年用量</w:t>
            </w:r>
          </w:p>
        </w:tc>
        <w:tc>
          <w:tcPr>
            <w:tcW w:w="54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单位</w:t>
            </w:r>
          </w:p>
        </w:tc>
        <w:tc>
          <w:tcPr>
            <w:tcW w:w="93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jc w:val="center"/>
              <w:textAlignment w:val="center"/>
              <w:rPr>
                <w:rFonts w:hint="default" w:asciiTheme="minorEastAsia" w:hAnsiTheme="minorEastAsia" w:eastAsiaTheme="minorEastAsia" w:cstheme="minorEastAsia"/>
                <w:b/>
                <w:bCs/>
                <w:i w:val="0"/>
                <w:iCs w:val="0"/>
                <w:color w:val="000000"/>
                <w:sz w:val="24"/>
                <w:szCs w:val="24"/>
                <w:highlight w:val="none"/>
                <w:u w:val="none"/>
                <w:lang w:val="en-US"/>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最高单价（元/</w:t>
            </w:r>
            <w:r>
              <w:rPr>
                <w:rFonts w:hint="eastAsia" w:asciiTheme="minorEastAsia" w:hAnsiTheme="minorEastAsia" w:eastAsiaTheme="minorEastAsia" w:cstheme="minorEastAsia"/>
                <w:i w:val="0"/>
                <w:iCs w:val="0"/>
                <w:color w:val="000000"/>
                <w:sz w:val="24"/>
                <w:szCs w:val="24"/>
                <w:highlight w:val="none"/>
                <w:u w:val="none"/>
                <w:lang w:val="en-US"/>
              </w:rPr>
              <w:t>人份</w:t>
            </w: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1"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2192"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可溶性fms样酪氨酸激酶-1检测试剂盒</w:t>
            </w:r>
          </w:p>
        </w:tc>
        <w:tc>
          <w:tcPr>
            <w:tcW w:w="841"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jc w:val="center"/>
              <w:textAlignment w:val="center"/>
              <w:rPr>
                <w:rFonts w:hint="default"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3000人份</w:t>
            </w:r>
          </w:p>
        </w:tc>
        <w:tc>
          <w:tcPr>
            <w:tcW w:w="547"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人份</w:t>
            </w:r>
          </w:p>
        </w:tc>
        <w:tc>
          <w:tcPr>
            <w:tcW w:w="937"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sz w:val="24"/>
                <w:szCs w:val="24"/>
                <w:highlight w:val="none"/>
                <w:u w:val="none"/>
                <w:lang w:val="en-US"/>
              </w:rPr>
              <w:t>75元/人份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1"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2192"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胎盘生长因子检测试剂盒</w:t>
            </w:r>
          </w:p>
        </w:tc>
        <w:tc>
          <w:tcPr>
            <w:tcW w:w="143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3000人份</w:t>
            </w:r>
          </w:p>
        </w:tc>
        <w:tc>
          <w:tcPr>
            <w:tcW w:w="93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人份</w:t>
            </w:r>
          </w:p>
        </w:tc>
        <w:tc>
          <w:tcPr>
            <w:tcW w:w="159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sz w:val="24"/>
                <w:szCs w:val="24"/>
                <w:highlight w:val="none"/>
                <w:u w:val="none"/>
                <w:lang w:val="en-US"/>
              </w:rPr>
              <w:t>75元/人份</w:t>
            </w:r>
          </w:p>
        </w:tc>
      </w:tr>
    </w:tbl>
    <w:p>
      <w:pPr>
        <w:keepNext w:val="0"/>
        <w:keepLines w:val="0"/>
        <w:pageBreakBefore w:val="0"/>
        <w:widowControl w:val="0"/>
        <w:numPr>
          <w:ilvl w:val="0"/>
          <w:numId w:val="3"/>
        </w:numPr>
        <w:kinsoku w:val="0"/>
        <w:wordWrap/>
        <w:overflowPunct w:val="0"/>
        <w:topLinePunct w:val="0"/>
        <w:autoSpaceDE w:val="0"/>
        <w:autoSpaceDN w:val="0"/>
        <w:bidi w:val="0"/>
        <w:adjustRightInd/>
        <w:snapToGrid/>
        <w:spacing w:line="360" w:lineRule="auto"/>
        <w:ind w:firstLine="0"/>
        <w:outlineLvl w:val="2"/>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技术参数及要求</w:t>
      </w:r>
    </w:p>
    <w:bookmarkEnd w:id="1"/>
    <w:tbl>
      <w:tblPr>
        <w:tblStyle w:val="10"/>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300"/>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0" w:type="dxa"/>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60" w:lineRule="auto"/>
              <w:ind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1300" w:type="dxa"/>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60" w:lineRule="auto"/>
              <w:ind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名称</w:t>
            </w:r>
          </w:p>
        </w:tc>
        <w:tc>
          <w:tcPr>
            <w:tcW w:w="6495" w:type="dxa"/>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60" w:lineRule="auto"/>
              <w:ind w:firstLine="0"/>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技术参数</w:t>
            </w:r>
            <w:r>
              <w:rPr>
                <w:rFonts w:hint="eastAsia" w:asciiTheme="minorEastAsia" w:hAnsiTheme="minorEastAsia" w:eastAsiaTheme="minorEastAsia" w:cstheme="minorEastAsia"/>
                <w:sz w:val="24"/>
                <w:szCs w:val="24"/>
                <w:highlight w:val="none"/>
                <w:lang w:val="en-US" w:eastAsia="zh-CN"/>
              </w:rPr>
              <w:t>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20" w:type="dxa"/>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60" w:lineRule="auto"/>
              <w:ind w:firstLine="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w:t>
            </w:r>
          </w:p>
        </w:tc>
        <w:tc>
          <w:tcPr>
            <w:tcW w:w="1300" w:type="dxa"/>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firstLineChars="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可溶性fms样酪氨酸激酶-1检测试剂盒</w:t>
            </w:r>
          </w:p>
        </w:tc>
        <w:tc>
          <w:tcPr>
            <w:tcW w:w="6495" w:type="dxa"/>
            <w:noWrap w:val="0"/>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★1.方法学：化学发光法</w:t>
            </w:r>
          </w:p>
          <w:p>
            <w:pPr>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2.基本要求：用于血清样本定量检测可溶性fms样酪氨酸激酶-1</w:t>
            </w:r>
          </w:p>
          <w:p>
            <w:pPr>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US" w:eastAsia="zh-CN"/>
              </w:rPr>
              <w:t>规格：须包含</w:t>
            </w:r>
            <w:r>
              <w:rPr>
                <w:rFonts w:hint="eastAsia" w:asciiTheme="minorEastAsia" w:hAnsiTheme="minorEastAsia" w:eastAsiaTheme="minorEastAsia" w:cstheme="minorEastAsia"/>
                <w:sz w:val="24"/>
                <w:szCs w:val="24"/>
                <w:highlight w:val="none"/>
              </w:rPr>
              <w:t>50人份</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100人份</w:t>
            </w:r>
            <w:r>
              <w:rPr>
                <w:rFonts w:hint="eastAsia" w:asciiTheme="minorEastAsia" w:hAnsiTheme="minorEastAsia" w:eastAsiaTheme="minorEastAsia" w:cstheme="minorEastAsia"/>
                <w:sz w:val="24"/>
                <w:szCs w:val="24"/>
                <w:highlight w:val="none"/>
                <w:lang w:val="en-US" w:eastAsia="zh-CN"/>
              </w:rPr>
              <w:t>两种规格</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 xml:space="preserve">.性能：可溶性fms样酪氨酸激酶-1检测试剂检测范围：50-32000pg/mL线性范围：100-30000pg/mL；线性相关系数（r）≥0.990；重复性：变异系数（CV）≤10%；批间差：变异系数（CV）≤15%。 </w:t>
            </w:r>
          </w:p>
          <w:p>
            <w:pPr>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抗干扰性：可溶性fms样酪氨酸激酶-1：在甘油三酯（&lt;1200mg/dL）、血红蛋白（&lt;500mg/dL）、胆红素（&lt;10mg/dL）、类风湿因子（&lt;1500IU/mL），胆红素（&lt;10mg/dL）、HAMA(&lt;30ng/mL）、生物素(&lt;30ng/mL）情况下，无干扰。</w:t>
            </w:r>
          </w:p>
          <w:p>
            <w:pPr>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须配备</w:t>
            </w:r>
            <w:r>
              <w:rPr>
                <w:rFonts w:hint="eastAsia" w:asciiTheme="minorEastAsia" w:hAnsiTheme="minorEastAsia" w:eastAsiaTheme="minorEastAsia" w:cstheme="minorEastAsia"/>
                <w:sz w:val="24"/>
                <w:szCs w:val="24"/>
                <w:highlight w:val="none"/>
              </w:rPr>
              <w:t>子痫前期管理</w:t>
            </w:r>
            <w:r>
              <w:rPr>
                <w:rFonts w:hint="eastAsia" w:asciiTheme="minorEastAsia" w:hAnsiTheme="minorEastAsia" w:eastAsiaTheme="minorEastAsia" w:cstheme="minorEastAsia"/>
                <w:sz w:val="24"/>
                <w:szCs w:val="24"/>
                <w:highlight w:val="none"/>
                <w:lang w:val="en-US" w:eastAsia="zh-CN"/>
              </w:rPr>
              <w:t>系统，</w:t>
            </w:r>
            <w:r>
              <w:rPr>
                <w:rFonts w:hint="eastAsia" w:asciiTheme="minorEastAsia" w:hAnsiTheme="minorEastAsia" w:eastAsiaTheme="minorEastAsia" w:cstheme="minorEastAsia"/>
                <w:sz w:val="24"/>
                <w:szCs w:val="24"/>
                <w:highlight w:val="none"/>
              </w:rPr>
              <w:t>可建立实验室中位数及风险截断值：通过积累数据校正实验室中位数及风险截断值，优化和提高检出率可校正中位数。追踪任意检测指标MoM值漂移情况，决定是否调整其参考中位数，同时支持监测仪器、试剂的质控和异常管理。</w:t>
            </w:r>
          </w:p>
          <w:p>
            <w:pPr>
              <w:keepNext w:val="0"/>
              <w:keepLines w:val="0"/>
              <w:pageBreakBefore w:val="0"/>
              <w:widowControl w:val="0"/>
              <w:kinsoku/>
              <w:wordWrap/>
              <w:overflowPunct/>
              <w:topLinePunct w:val="0"/>
              <w:bidi w:val="0"/>
              <w:adjustRightInd/>
              <w:snapToGrid/>
              <w:spacing w:line="360" w:lineRule="auto"/>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6.有效期：未开封试剂盒，有效期≥12个月；试剂开封稳定性≥28天；机载稳定性≥28天。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20" w:type="dxa"/>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60" w:lineRule="auto"/>
              <w:ind w:firstLine="0"/>
              <w:jc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val="en-US" w:eastAsia="zh-CN"/>
              </w:rPr>
              <w:t>2</w:t>
            </w:r>
          </w:p>
        </w:tc>
        <w:tc>
          <w:tcPr>
            <w:tcW w:w="1300" w:type="dxa"/>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spacing w:line="360" w:lineRule="auto"/>
              <w:ind w:firstLine="0" w:firstLineChars="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胎盘生长因子检测试剂盒</w:t>
            </w:r>
          </w:p>
        </w:tc>
        <w:tc>
          <w:tcPr>
            <w:tcW w:w="649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★1.方法学：化学发光法</w:t>
            </w:r>
          </w:p>
          <w:p>
            <w:pPr>
              <w:keepNext w:val="0"/>
              <w:keepLines w:val="0"/>
              <w:pageBreakBefore w:val="0"/>
              <w:widowControl w:val="0"/>
              <w:kinsoku/>
              <w:wordWrap/>
              <w:overflowPunct/>
              <w:topLinePunct w:val="0"/>
              <w:autoSpaceDE w:val="0"/>
              <w:autoSpaceDN w:val="0"/>
              <w:bidi w:val="0"/>
              <w:adjustRightInd/>
              <w:snapToGrid/>
              <w:spacing w:line="360" w:lineRule="auto"/>
              <w:ind w:firstLine="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2.基本要求：用于血清样本定量检测胎盘生长因子</w:t>
            </w:r>
          </w:p>
          <w:p>
            <w:pPr>
              <w:keepNext w:val="0"/>
              <w:keepLines w:val="0"/>
              <w:pageBreakBefore w:val="0"/>
              <w:widowControl w:val="0"/>
              <w:kinsoku/>
              <w:wordWrap/>
              <w:overflowPunct/>
              <w:topLinePunct w:val="0"/>
              <w:autoSpaceDE w:val="0"/>
              <w:autoSpaceDN w:val="0"/>
              <w:bidi w:val="0"/>
              <w:adjustRightInd/>
              <w:snapToGrid/>
              <w:spacing w:line="360" w:lineRule="auto"/>
              <w:ind w:firstLine="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US" w:eastAsia="zh-CN"/>
              </w:rPr>
              <w:t>规格：须包含</w:t>
            </w:r>
            <w:r>
              <w:rPr>
                <w:rFonts w:hint="eastAsia" w:asciiTheme="minorEastAsia" w:hAnsiTheme="minorEastAsia" w:eastAsiaTheme="minorEastAsia" w:cstheme="minorEastAsia"/>
                <w:sz w:val="24"/>
                <w:szCs w:val="24"/>
                <w:highlight w:val="none"/>
              </w:rPr>
              <w:t>50人份</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100人份</w:t>
            </w:r>
            <w:r>
              <w:rPr>
                <w:rFonts w:hint="eastAsia" w:asciiTheme="minorEastAsia" w:hAnsiTheme="minorEastAsia" w:eastAsiaTheme="minorEastAsia" w:cstheme="minorEastAsia"/>
                <w:sz w:val="24"/>
                <w:szCs w:val="24"/>
                <w:highlight w:val="none"/>
                <w:lang w:val="en-US" w:eastAsia="zh-CN"/>
              </w:rPr>
              <w:t>两种规格</w:t>
            </w:r>
          </w:p>
          <w:p>
            <w:pPr>
              <w:keepNext w:val="0"/>
              <w:keepLines w:val="0"/>
              <w:pageBreakBefore w:val="0"/>
              <w:widowControl w:val="0"/>
              <w:kinsoku/>
              <w:wordWrap/>
              <w:overflowPunct/>
              <w:topLinePunct w:val="0"/>
              <w:autoSpaceDE w:val="0"/>
              <w:autoSpaceDN w:val="0"/>
              <w:bidi w:val="0"/>
              <w:adjustRightInd/>
              <w:snapToGrid/>
              <w:spacing w:line="360" w:lineRule="auto"/>
              <w:ind w:firstLine="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.性能：胎盘生长因子检测试剂检测范围：10-5000pg/mL，线性范围：12-3000pg/mL；</w:t>
            </w:r>
          </w:p>
          <w:p>
            <w:pPr>
              <w:keepNext w:val="0"/>
              <w:keepLines w:val="0"/>
              <w:pageBreakBefore w:val="0"/>
              <w:widowControl w:val="0"/>
              <w:kinsoku/>
              <w:wordWrap/>
              <w:overflowPunct/>
              <w:topLinePunct w:val="0"/>
              <w:autoSpaceDE w:val="0"/>
              <w:autoSpaceDN w:val="0"/>
              <w:bidi w:val="0"/>
              <w:adjustRightInd/>
              <w:snapToGrid/>
              <w:spacing w:line="360" w:lineRule="auto"/>
              <w:ind w:firstLine="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线性相关系数（r）≥0.990；重复性：变异系数（CV）≤10%；批间差：变异系数（CV）≤15%。 </w:t>
            </w:r>
          </w:p>
          <w:p>
            <w:pPr>
              <w:keepNext w:val="0"/>
              <w:keepLines w:val="0"/>
              <w:pageBreakBefore w:val="0"/>
              <w:widowControl w:val="0"/>
              <w:kinsoku/>
              <w:wordWrap/>
              <w:overflowPunct/>
              <w:topLinePunct w:val="0"/>
              <w:autoSpaceDE w:val="0"/>
              <w:autoSpaceDN w:val="0"/>
              <w:bidi w:val="0"/>
              <w:adjustRightInd/>
              <w:snapToGrid/>
              <w:spacing w:line="360" w:lineRule="auto"/>
              <w:ind w:firstLine="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抗干扰性：胎盘生长因子：在甘油三酯（&lt;1200mg/dL）、血红蛋白（&lt;500mg/dL）、胆红素（&lt;10mg/dL）、类风湿因子（&lt;600IU/mL）、HAMA(&lt;40ng/mL）、生物素（&lt;30ng/mL）情况下，无干扰。</w:t>
            </w:r>
          </w:p>
          <w:p>
            <w:pPr>
              <w:keepNext w:val="0"/>
              <w:keepLines w:val="0"/>
              <w:pageBreakBefore w:val="0"/>
              <w:widowControl w:val="0"/>
              <w:kinsoku/>
              <w:wordWrap/>
              <w:overflowPunct/>
              <w:topLinePunct w:val="0"/>
              <w:autoSpaceDE w:val="0"/>
              <w:autoSpaceDN w:val="0"/>
              <w:bidi w:val="0"/>
              <w:adjustRightInd/>
              <w:snapToGrid/>
              <w:spacing w:line="360" w:lineRule="auto"/>
              <w:ind w:firstLine="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须配备</w:t>
            </w:r>
            <w:r>
              <w:rPr>
                <w:rFonts w:hint="eastAsia" w:asciiTheme="minorEastAsia" w:hAnsiTheme="minorEastAsia" w:eastAsiaTheme="minorEastAsia" w:cstheme="minorEastAsia"/>
                <w:sz w:val="24"/>
                <w:szCs w:val="24"/>
                <w:highlight w:val="none"/>
              </w:rPr>
              <w:t>子痫前期管理</w:t>
            </w:r>
            <w:r>
              <w:rPr>
                <w:rFonts w:hint="eastAsia" w:asciiTheme="minorEastAsia" w:hAnsiTheme="minorEastAsia" w:eastAsiaTheme="minorEastAsia" w:cstheme="minorEastAsia"/>
                <w:sz w:val="24"/>
                <w:szCs w:val="24"/>
                <w:highlight w:val="none"/>
                <w:lang w:val="en-US" w:eastAsia="zh-CN"/>
              </w:rPr>
              <w:t>系统，</w:t>
            </w:r>
            <w:r>
              <w:rPr>
                <w:rFonts w:hint="eastAsia" w:asciiTheme="minorEastAsia" w:hAnsiTheme="minorEastAsia" w:eastAsiaTheme="minorEastAsia" w:cstheme="minorEastAsia"/>
                <w:sz w:val="24"/>
                <w:szCs w:val="24"/>
                <w:highlight w:val="none"/>
              </w:rPr>
              <w:t>可建立实验室中位数及风险截断值：通过积累数据校正实验室中位数及风险截断值，优化和提高检出率可校正中位数，更好的适应地区人群的需要。追踪任意检测指标MoM值漂移情况，决定是否调整其参考中位数，同时支持监测仪器、试剂的质控和异常管理。</w:t>
            </w:r>
          </w:p>
          <w:p>
            <w:pPr>
              <w:keepNext w:val="0"/>
              <w:keepLines w:val="0"/>
              <w:pageBreakBefore w:val="0"/>
              <w:widowControl w:val="0"/>
              <w:kinsoku/>
              <w:wordWrap/>
              <w:overflowPunct/>
              <w:topLinePunct w:val="0"/>
              <w:autoSpaceDE w:val="0"/>
              <w:autoSpaceDN w:val="0"/>
              <w:bidi w:val="0"/>
              <w:adjustRightInd/>
              <w:snapToGrid/>
              <w:spacing w:line="360" w:lineRule="auto"/>
              <w:ind w:firstLine="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6.有效期：未开封试剂盒，有效期≥12个月；试剂开封稳定性≥28天；机载稳定性≥28天。</w:t>
            </w:r>
          </w:p>
        </w:tc>
      </w:tr>
    </w:tbl>
    <w:p>
      <w:pPr>
        <w:keepNext w:val="0"/>
        <w:keepLines w:val="0"/>
        <w:widowControl/>
        <w:suppressLineNumbers w:val="0"/>
        <w:spacing w:line="360" w:lineRule="auto"/>
        <w:jc w:val="both"/>
        <w:outlineLvl w:val="1"/>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注： </w:t>
      </w:r>
    </w:p>
    <w:p>
      <w:pPr>
        <w:keepNext w:val="0"/>
        <w:keepLines w:val="0"/>
        <w:widowControl/>
        <w:suppressLineNumbers w:val="0"/>
        <w:spacing w:line="360" w:lineRule="auto"/>
        <w:jc w:val="both"/>
        <w:outlineLvl w:val="1"/>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1）供应商所投配送产品须与采购人现有设备（全自动化学发光免疫分析仪 iMAGIN 1800）相兼容，否则成交供应商承担一切法律责任。 </w:t>
      </w:r>
    </w:p>
    <w:p>
      <w:pPr>
        <w:keepNext w:val="0"/>
        <w:keepLines w:val="0"/>
        <w:widowControl/>
        <w:suppressLineNumbers w:val="0"/>
        <w:spacing w:line="360" w:lineRule="auto"/>
        <w:jc w:val="both"/>
        <w:outlineLvl w:val="1"/>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2）供应商所配送产品报价不得高于安徽省医药集中采购平台交易目录的限价。服务期限内，所配送产品如在安徽医药集中采购平台交易目录内且限价调整的，如低于对应成交综合单价，则执行最新降价后的安徽省医药集中采购平台交易目录的限价进行结算（响应文件中提供承诺，格式自拟，但须明确体现上述内容，否则响应无效）。 </w:t>
      </w:r>
    </w:p>
    <w:p>
      <w:pPr>
        <w:keepNext w:val="0"/>
        <w:keepLines w:val="0"/>
        <w:widowControl/>
        <w:suppressLineNumbers w:val="0"/>
        <w:spacing w:line="360" w:lineRule="auto"/>
        <w:jc w:val="left"/>
        <w:outlineLvl w:val="1"/>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3）配送品目如为带量采购谈判、价格联动成功的产品，则产品和价格须执行相关政策文件要求；供应商所配送所有产品的综合单价均不得高于配送产品清单表中列明的对应最高单价；成交总价不得高于本项目最高限价。未按上述要求报价的响应无效。</w:t>
      </w:r>
    </w:p>
    <w:p>
      <w:pPr>
        <w:keepNext w:val="0"/>
        <w:keepLines w:val="0"/>
        <w:widowControl/>
        <w:suppressLineNumbers w:val="0"/>
        <w:spacing w:line="360" w:lineRule="auto"/>
        <w:jc w:val="left"/>
        <w:outlineLvl w:val="1"/>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三、服务</w:t>
      </w:r>
      <w:r>
        <w:rPr>
          <w:rFonts w:hint="default" w:ascii="宋体" w:hAnsi="宋体" w:eastAsia="宋体" w:cs="宋体"/>
          <w:b/>
          <w:bCs/>
          <w:color w:val="000000"/>
          <w:kern w:val="0"/>
          <w:sz w:val="24"/>
          <w:szCs w:val="24"/>
          <w:highlight w:val="none"/>
          <w:lang w:eastAsia="zh-CN" w:bidi="ar"/>
        </w:rPr>
        <w:t>需求</w:t>
      </w:r>
      <w:r>
        <w:rPr>
          <w:rFonts w:hint="eastAsia" w:ascii="宋体" w:hAnsi="宋体" w:eastAsia="宋体" w:cs="宋体"/>
          <w:b/>
          <w:bCs/>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1、供应商所配送产品须为功能、配置完整，能够直接使用的产品。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2、鉴于采购人各配送产品实际需求量不同，成交供应商须确保所配送产品医疗器械注册证中列明的全部规格均在配送范围内，采购人可根据使用情况对配送规格进行调整，本项目履约服务过程中严格按采购人要求的规格和数量进行配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合同签订后，成交供应商配送的试剂须满足安徽省医疗保障局的相关政策要求和规定。配送产品如属于《安徽省公立医疗机构临床检验试剂网上集中交易实施方案》《安徽省公立医疗机构医用耗材网上集中交易实施方案》实施范围内的，如属于安徽省医药集中采购中心平台范围交易目录的产品，响应文件中须提供流水号及限价；所配送产品如属于备案目录的产品，响应文件中须提供流水号，且供应商可以进行安徽省医药集中采购平台网上集中交易，须执行《安徽省公立医疗机构医用耗材采购推行“两票制”实施意见》的相关规定及当地相关政策要求能确保配送产品正常使用、工作的正常开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4、成交供应商提供所有与试剂相关的</w:t>
      </w:r>
      <w:r>
        <w:rPr>
          <w:rFonts w:hint="eastAsia" w:asciiTheme="minorEastAsia" w:hAnsiTheme="minorEastAsia" w:eastAsiaTheme="minorEastAsia" w:cstheme="minorEastAsia"/>
          <w:sz w:val="24"/>
          <w:szCs w:val="24"/>
          <w:highlight w:val="none"/>
        </w:rPr>
        <w:t>质控质控品（不少于2个水平）及校准品、反应杯、清洗液、激发液</w:t>
      </w:r>
      <w:r>
        <w:rPr>
          <w:rFonts w:hint="eastAsia" w:ascii="宋体" w:hAnsi="宋体" w:eastAsia="宋体" w:cs="宋体"/>
          <w:color w:val="000000"/>
          <w:kern w:val="0"/>
          <w:sz w:val="24"/>
          <w:szCs w:val="24"/>
          <w:highlight w:val="none"/>
          <w:lang w:val="en-US" w:eastAsia="zh-CN" w:bidi="ar"/>
        </w:rPr>
        <w:t xml:space="preserve">及相关辅助耗材（如：进样穿刺针、打印色带、载玻片、浸油、测试卡等），其中定标液、清洗液、质控品和校准品为原厂配套产品，该部分费用供应商磋商时在配送产品综合单价中考虑，无需单独报价，成交后采购人不再另行支付费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5、在规定的质保期（有效期）内须对所有提供产品质量负责。若出现产品质量问题及时予以退、换处理。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6、配送产品应附有详细的产品安全使用说明书，成交供应商能够组织对使用人员进行产品安全使用指导培训。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p>
    <w:p>
      <w:pPr>
        <w:keepNext w:val="0"/>
        <w:keepLines w:val="0"/>
        <w:widowControl/>
        <w:suppressLineNumbers w:val="0"/>
        <w:spacing w:line="360" w:lineRule="auto"/>
        <w:ind w:firstLine="482" w:firstLineChars="200"/>
        <w:jc w:val="left"/>
        <w:outlineLvl w:val="1"/>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四、报价要求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上述配送产品清单中列明的配送货物预估年使用量均为暂定量，供应商须按暂定量同时报各配送货物品目的综合单价及总价，总价仅作为定标的依据且不得超过本项目成交总价，综合单价系指完成某一品目对应规格产品的生产、配送服务、税费等所需一切费用。</w:t>
      </w:r>
      <w:r>
        <w:rPr>
          <w:rFonts w:hint="eastAsia" w:ascii="宋体" w:hAnsi="宋体" w:eastAsia="宋体" w:cs="宋体"/>
          <w:b/>
          <w:bCs/>
          <w:color w:val="000000"/>
          <w:kern w:val="0"/>
          <w:sz w:val="24"/>
          <w:szCs w:val="24"/>
          <w:highlight w:val="none"/>
          <w:lang w:val="en-US" w:eastAsia="zh-CN" w:bidi="ar"/>
        </w:rPr>
        <w:t xml:space="preserve">未按上述要求报价的，响应无效。 </w:t>
      </w:r>
    </w:p>
    <w:p>
      <w:pPr>
        <w:pageBreakBefore w:val="0"/>
        <w:kinsoku/>
        <w:wordWrap/>
        <w:overflowPunct/>
        <w:topLinePunct w:val="0"/>
        <w:autoSpaceDE/>
        <w:autoSpaceDN/>
        <w:bidi w:val="0"/>
        <w:spacing w:line="360" w:lineRule="auto"/>
        <w:ind w:firstLine="480" w:firstLineChars="200"/>
        <w:rPr>
          <w:rFonts w:asciiTheme="minorEastAsia" w:hAnsiTheme="minorEastAsia" w:eastAsiaTheme="minorEastAsia"/>
          <w:color w:val="auto"/>
          <w:sz w:val="24"/>
          <w:highlight w:val="none"/>
        </w:rPr>
      </w:pPr>
      <w:r>
        <w:rPr>
          <w:rFonts w:hint="eastAsia" w:ascii="宋体" w:hAnsi="宋体" w:eastAsia="宋体" w:cs="宋体"/>
          <w:color w:val="000000"/>
          <w:kern w:val="0"/>
          <w:sz w:val="24"/>
          <w:szCs w:val="24"/>
          <w:highlight w:val="none"/>
          <w:lang w:val="en-US" w:eastAsia="zh-CN" w:bidi="ar"/>
        </w:rPr>
        <w:t>2、配送数量以实际结算数量为准，供应商须按采购人实际需求分批配送、据实结算。供应商须综合考虑中标后可能出现的实际配送量与采购文件预估量之间的差距。采购人后期仅根据采购文件列明的方式据实结算，不再追加除此之外的任何费用</w:t>
      </w:r>
      <w:bookmarkStart w:id="2" w:name="_GoBack"/>
      <w:bookmarkEnd w:id="2"/>
      <w:r>
        <w:rPr>
          <w:rFonts w:hint="eastAsia" w:asciiTheme="minorEastAsia" w:hAnsiTheme="minorEastAsia" w:eastAsiaTheme="minorEastAsia" w:cstheme="minorEastAsia"/>
          <w:bCs/>
          <w:color w:val="auto"/>
          <w:sz w:val="24"/>
          <w:szCs w:val="24"/>
          <w:highlight w:val="none"/>
        </w:rPr>
        <w:t>。</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A939F"/>
    <w:multiLevelType w:val="singleLevel"/>
    <w:tmpl w:val="8B2A939F"/>
    <w:lvl w:ilvl="0" w:tentative="0">
      <w:start w:val="2"/>
      <w:numFmt w:val="chineseCounting"/>
      <w:suff w:val="nothing"/>
      <w:lvlText w:val="（%1）"/>
      <w:lvlJc w:val="left"/>
      <w:rPr>
        <w:rFonts w:hint="eastAsia"/>
      </w:rPr>
    </w:lvl>
  </w:abstractNum>
  <w:abstractNum w:abstractNumId="1">
    <w:nsid w:val="06250F54"/>
    <w:multiLevelType w:val="singleLevel"/>
    <w:tmpl w:val="06250F54"/>
    <w:lvl w:ilvl="0" w:tentative="0">
      <w:start w:val="1"/>
      <w:numFmt w:val="decimal"/>
      <w:suff w:val="nothing"/>
      <w:lvlText w:val="%1、"/>
      <w:lvlJc w:val="left"/>
    </w:lvl>
  </w:abstractNum>
  <w:abstractNum w:abstractNumId="2">
    <w:nsid w:val="5882B71D"/>
    <w:multiLevelType w:val="singleLevel"/>
    <w:tmpl w:val="5882B71D"/>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MzJmNmE3ZTAyMGFkZDUyNTY4NGNhZDY1MTU4OTIifQ=="/>
  </w:docVars>
  <w:rsids>
    <w:rsidRoot w:val="00000000"/>
    <w:rsid w:val="07CE0949"/>
    <w:rsid w:val="13A83F27"/>
    <w:rsid w:val="2967454B"/>
    <w:rsid w:val="38C61C8D"/>
    <w:rsid w:val="4B4D4560"/>
    <w:rsid w:val="6E681925"/>
    <w:rsid w:val="760F4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段"/>
    <w:next w:val="1"/>
    <w:autoRedefine/>
    <w:unhideWhenUsed/>
    <w:qFormat/>
    <w:uiPriority w:val="0"/>
    <w:pPr>
      <w:autoSpaceDE w:val="0"/>
      <w:autoSpaceDN w:val="0"/>
      <w:ind w:firstLine="200" w:firstLineChars="200"/>
      <w:jc w:val="both"/>
    </w:pPr>
    <w:rPr>
      <w:rFonts w:hint="eastAsia" w:ascii="宋体" w:hAnsi="Times New Roman" w:eastAsia="宋体" w:cs="Times New Roman"/>
      <w:sz w:val="21"/>
      <w:szCs w:val="24"/>
      <w:lang w:val="en-US" w:eastAsia="zh-CN" w:bidi="ar-SA"/>
    </w:rPr>
  </w:style>
  <w:style w:type="paragraph" w:styleId="5">
    <w:name w:val="Body Text Indent"/>
    <w:basedOn w:val="1"/>
    <w:next w:val="6"/>
    <w:autoRedefine/>
    <w:qFormat/>
    <w:uiPriority w:val="0"/>
    <w:pPr>
      <w:ind w:firstLine="645"/>
    </w:pPr>
    <w:rPr>
      <w:rFonts w:ascii="楷体_GB2312" w:eastAsia="楷体_GB2312"/>
      <w:sz w:val="32"/>
    </w:rPr>
  </w:style>
  <w:style w:type="paragraph" w:styleId="6">
    <w:name w:val="envelope return"/>
    <w:basedOn w:val="1"/>
    <w:autoRedefine/>
    <w:qFormat/>
    <w:uiPriority w:val="0"/>
    <w:pPr>
      <w:snapToGrid w:val="0"/>
    </w:pPr>
    <w:rPr>
      <w:rFonts w:ascii="Arial" w:hAnsi="Arial" w:cs="Arial"/>
      <w:szCs w:val="24"/>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9">
    <w:name w:val="Body Text First Indent 2"/>
    <w:basedOn w:val="5"/>
    <w:next w:val="1"/>
    <w:qFormat/>
    <w:uiPriority w:val="0"/>
    <w:pPr>
      <w:spacing w:after="120"/>
      <w:ind w:left="420" w:leftChars="200" w:firstLine="420" w:firstLineChars="200"/>
    </w:pPr>
    <w:rPr>
      <w:sz w:val="21"/>
      <w:szCs w:val="24"/>
    </w:rPr>
  </w:style>
  <w:style w:type="table" w:styleId="11">
    <w:name w:val="Table Grid"/>
    <w:basedOn w:val="10"/>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D&amp;L"/>
    <w:basedOn w:val="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4">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8270</Words>
  <Characters>8704</Characters>
  <Lines>0</Lines>
  <Paragraphs>0</Paragraphs>
  <TotalTime>0</TotalTime>
  <ScaleCrop>false</ScaleCrop>
  <LinksUpToDate>false</LinksUpToDate>
  <CharactersWithSpaces>8868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2024-03-13T03:01:00Z</dcterms:created>
  <dc:creator>admin</dc:creator>
  <cp:lastModifiedBy>政采部李工</cp:lastModifiedBy>
  <dcterms:modified xsi:type="dcterms:W3CDTF">2024-05-28T03:07:30Z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CE3A3BE3B35046EEBEA31D9E23CBCE82_12</vt:lpwstr>
  </property>
</Properties>
</file>