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采购需求</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（仅供参考，以采购文件为准）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序号</w:t>
            </w:r>
          </w:p>
        </w:tc>
        <w:tc>
          <w:tcPr>
            <w:tcW w:w="749" w:type="pct"/>
            <w:vAlign w:val="center"/>
          </w:tcPr>
          <w:p>
            <w:pPr>
              <w:spacing w:line="360" w:lineRule="auto"/>
              <w:ind w:firstLine="435"/>
              <w:jc w:val="center"/>
              <w:rPr>
                <w:rFonts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内容</w:t>
            </w:r>
          </w:p>
        </w:tc>
        <w:tc>
          <w:tcPr>
            <w:tcW w:w="3688" w:type="pct"/>
            <w:vAlign w:val="center"/>
          </w:tcPr>
          <w:p>
            <w:pPr>
              <w:spacing w:line="360" w:lineRule="auto"/>
              <w:ind w:firstLine="435"/>
              <w:jc w:val="center"/>
              <w:rPr>
                <w:rFonts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1</w:t>
            </w:r>
          </w:p>
        </w:tc>
        <w:tc>
          <w:tcPr>
            <w:tcW w:w="749"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人员到岗及履约要求</w:t>
            </w:r>
          </w:p>
        </w:tc>
        <w:tc>
          <w:tcPr>
            <w:tcW w:w="368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2</w:t>
            </w:r>
          </w:p>
        </w:tc>
        <w:tc>
          <w:tcPr>
            <w:tcW w:w="749"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材料要求</w:t>
            </w:r>
          </w:p>
        </w:tc>
        <w:tc>
          <w:tcPr>
            <w:tcW w:w="368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（3）对于采购人参考品牌的材料，</w:t>
            </w:r>
            <w:r>
              <w:rPr>
                <w:rFonts w:ascii="宋体" w:hAnsi="宋体" w:eastAsia="宋体" w:cs="@仿宋_GB2312"/>
                <w:kern w:val="2"/>
                <w:sz w:val="24"/>
                <w:szCs w:val="22"/>
                <w:highlight w:val="none"/>
              </w:rPr>
              <w:t>供应商</w:t>
            </w:r>
            <w:r>
              <w:rPr>
                <w:rFonts w:hint="eastAsia" w:ascii="宋体" w:hAnsi="宋体" w:eastAsia="宋体" w:cs="@仿宋_GB2312"/>
                <w:kern w:val="2"/>
                <w:sz w:val="24"/>
                <w:szCs w:val="22"/>
                <w:highlight w:val="none"/>
              </w:rPr>
              <w:t>如认为参考品牌有限定性、唯一性、明显不在同一档次等级的或者其他异议的，应在本项目网上询问截止时间前通过电子交易系统提交。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3</w:t>
            </w:r>
          </w:p>
        </w:tc>
        <w:tc>
          <w:tcPr>
            <w:tcW w:w="749"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工程施工重点难点</w:t>
            </w:r>
          </w:p>
        </w:tc>
        <w:tc>
          <w:tcPr>
            <w:tcW w:w="3688" w:type="pct"/>
            <w:vAlign w:val="center"/>
          </w:tcPr>
          <w:p>
            <w:pPr>
              <w:spacing w:line="360" w:lineRule="auto"/>
              <w:rPr>
                <w:rFonts w:hint="eastAsia" w:ascii="宋体" w:hAnsi="宋体" w:eastAsia="宋体" w:cs="@仿宋_GB2312"/>
                <w:kern w:val="2"/>
                <w:sz w:val="24"/>
                <w:szCs w:val="22"/>
                <w:highlight w:val="none"/>
                <w:lang w:eastAsia="zh-CN"/>
              </w:rPr>
            </w:pPr>
            <w:r>
              <w:rPr>
                <w:rFonts w:hint="eastAsia" w:ascii="宋体" w:hAnsi="宋体" w:eastAsia="宋体" w:cs="@仿宋_GB2312"/>
                <w:kern w:val="2"/>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4</w:t>
            </w:r>
          </w:p>
        </w:tc>
        <w:tc>
          <w:tcPr>
            <w:tcW w:w="749"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报价须知</w:t>
            </w:r>
          </w:p>
        </w:tc>
        <w:tc>
          <w:tcPr>
            <w:tcW w:w="368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bCs/>
                <w:kern w:val="2"/>
                <w:sz w:val="24"/>
                <w:szCs w:val="28"/>
                <w:highlight w:val="none"/>
              </w:rPr>
              <w:t>供应商最后报价均不得高于磋商文件（公告）列明的项目预算、最高投标限价，否则其响应文件将被认定为响应无效。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5</w:t>
            </w:r>
          </w:p>
        </w:tc>
        <w:tc>
          <w:tcPr>
            <w:tcW w:w="749"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重要说明</w:t>
            </w:r>
          </w:p>
        </w:tc>
        <w:tc>
          <w:tcPr>
            <w:tcW w:w="3688"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（1）本项目的磋商文件、工程量清单、最高投标限价（控制价）、澄清、修改、补充等相关资料均通过电子服务系统发布，请供应商自行从网上下载，供应商应当及时查看有无相关澄清、修改、补充等内容。</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（2）在工程项目磋商过程中，供应商最后报价与公布的最高投标限价（控制价）或项目概算相比降幅过小，或供应商最后报价明显缺乏竞争性的，磋商小组可以否决其报价。</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（3）注册地不在合肥市行政区域范围（含四县一市）的</w:t>
            </w:r>
            <w:r>
              <w:rPr>
                <w:rFonts w:hint="eastAsia" w:ascii="宋体" w:hAnsi="宋体" w:eastAsia="宋体" w:cs="@仿宋_GB2312"/>
                <w:kern w:val="2"/>
                <w:sz w:val="24"/>
                <w:szCs w:val="22"/>
                <w:highlight w:val="none"/>
                <w:lang w:val="en-US" w:eastAsia="zh-CN"/>
              </w:rPr>
              <w:t>成交供应商</w:t>
            </w:r>
            <w:r>
              <w:rPr>
                <w:rFonts w:hint="eastAsia" w:ascii="宋体" w:hAnsi="宋体" w:eastAsia="宋体" w:cs="@仿宋_GB2312"/>
                <w:kern w:val="2"/>
                <w:sz w:val="24"/>
                <w:szCs w:val="22"/>
                <w:highlight w:val="none"/>
              </w:rPr>
              <w:t>，应按照国家税务总局规定，在建筑服务发生地及时足额预缴增值税。</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（4）</w:t>
            </w:r>
            <w:r>
              <w:rPr>
                <w:rFonts w:hint="eastAsia" w:ascii="宋体" w:hAnsi="宋体" w:eastAsia="宋体" w:cs="@仿宋_GB2312"/>
                <w:kern w:val="2"/>
                <w:sz w:val="24"/>
                <w:szCs w:val="22"/>
                <w:highlight w:val="none"/>
                <w:lang w:val="en-US" w:eastAsia="zh-CN"/>
              </w:rPr>
              <w:t>供应商</w:t>
            </w:r>
            <w:r>
              <w:rPr>
                <w:rFonts w:hint="eastAsia" w:ascii="宋体" w:hAnsi="宋体" w:eastAsia="宋体" w:cs="@仿宋_GB2312"/>
                <w:kern w:val="2"/>
                <w:sz w:val="24"/>
                <w:szCs w:val="22"/>
                <w:highlight w:val="none"/>
              </w:rPr>
              <w:t>在工程实施过程中用工行为，必须严格执行国家及地方政府的有关规定，依法签订劳动合同，并按规定及时足额支付工资。</w:t>
            </w:r>
          </w:p>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（5）</w:t>
            </w:r>
            <w:r>
              <w:rPr>
                <w:rFonts w:hint="eastAsia" w:ascii="Calibri" w:hAnsi="Calibri" w:eastAsia="宋体" w:cs="@仿宋_GB2312"/>
                <w:kern w:val="2"/>
                <w:sz w:val="24"/>
                <w:szCs w:val="22"/>
                <w:highlight w:val="none"/>
              </w:rPr>
              <w:t>建设工程不可竞争费构成及计费标准按 《关于调整合肥市建设工程不可竞争费构成及计费标准的通知》（合造价〔2021〕5号）执行，本工程最高投标限价（控制价）已按规定的措施项目、费率和单价列出采购工程施工扬尘污染防治费用和建筑工人实名制管理费用清单，供应商应承诺报价中已包含采购文件公布的施工扬尘污染防治费用和建筑工人实名制管理费用。工程竣工结算时，未落实的施工扬尘污染防治和建筑工人实名制管理措施项目, 应按清单所列金额从工程结算价款中扣除。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ascii="宋体" w:hAnsi="宋体" w:eastAsia="宋体" w:cs="@仿宋_GB2312"/>
                <w:kern w:val="2"/>
                <w:sz w:val="24"/>
                <w:szCs w:val="22"/>
                <w:highlight w:val="none"/>
              </w:rPr>
              <w:t>6</w:t>
            </w:r>
          </w:p>
        </w:tc>
        <w:tc>
          <w:tcPr>
            <w:tcW w:w="749" w:type="pct"/>
            <w:vAlign w:val="center"/>
          </w:tcPr>
          <w:p>
            <w:pPr>
              <w:spacing w:line="360" w:lineRule="auto"/>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项目经理</w:t>
            </w:r>
          </w:p>
        </w:tc>
        <w:tc>
          <w:tcPr>
            <w:tcW w:w="3688" w:type="pct"/>
            <w:vAlign w:val="center"/>
          </w:tcPr>
          <w:p>
            <w:pPr>
              <w:spacing w:line="360" w:lineRule="auto"/>
              <w:rPr>
                <w:rFonts w:ascii="Calibri" w:hAnsi="Calibri" w:eastAsia="宋体" w:cs="Times New Roman"/>
                <w:color w:val="000000"/>
                <w:kern w:val="0"/>
                <w:sz w:val="24"/>
                <w:szCs w:val="20"/>
                <w:highlight w:val="none"/>
              </w:rPr>
            </w:pPr>
            <w:r>
              <w:rPr>
                <w:rFonts w:hint="eastAsia" w:ascii="Calibri" w:hAnsi="Calibri" w:eastAsia="宋体" w:cs="Times New Roman"/>
                <w:color w:val="000000"/>
                <w:kern w:val="2"/>
                <w:sz w:val="24"/>
                <w:szCs w:val="20"/>
                <w:highlight w:val="none"/>
                <w:lang w:val="en-US" w:eastAsia="zh-CN"/>
              </w:rPr>
              <w:t>须具备建筑工程专业二级及以上注册建造师执业资格，且具备有效的安全生产考核合格证书（B 证），且目前未在其他项目上任职或虽在其他项目上任职但本项目中标后能够从该项目撤离。</w:t>
            </w:r>
          </w:p>
          <w:p>
            <w:pPr>
              <w:spacing w:line="360" w:lineRule="auto"/>
              <w:rPr>
                <w:rFonts w:ascii="宋体" w:hAnsi="宋体" w:eastAsia="宋体" w:cs="@仿宋_GB2312"/>
                <w:kern w:val="2"/>
                <w:sz w:val="24"/>
                <w:szCs w:val="22"/>
                <w:highlight w:val="none"/>
              </w:rPr>
            </w:pPr>
            <w:r>
              <w:rPr>
                <w:rFonts w:hint="eastAsia" w:ascii="Calibri" w:hAnsi="Calibri" w:eastAsia="宋体" w:cs="Times New Roman"/>
                <w:b/>
                <w:color w:val="000000"/>
                <w:kern w:val="2"/>
                <w:sz w:val="24"/>
                <w:szCs w:val="20"/>
                <w:highlight w:val="none"/>
              </w:rPr>
              <w:t>注：具体证明材料要求详见第四章《评审方法和标准》中初审表“项目经理”要求</w:t>
            </w:r>
            <w:r>
              <w:rPr>
                <w:rFonts w:hint="eastAsia" w:ascii="Calibri" w:hAnsi="Calibri" w:eastAsia="宋体" w:cs="宋体"/>
                <w:b/>
                <w:bCs/>
                <w:kern w:val="2"/>
                <w:sz w:val="24"/>
                <w:szCs w:val="22"/>
                <w:highlight w:val="none"/>
              </w:rPr>
              <w:t>（如为一级建造师，证书相关要求须满足供应商须知前附表35.5的规定）。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ascii="宋体" w:hAnsi="宋体" w:eastAsia="宋体" w:cs="@仿宋_GB2312"/>
                <w:kern w:val="2"/>
                <w:sz w:val="24"/>
                <w:szCs w:val="22"/>
                <w:highlight w:val="none"/>
              </w:rPr>
              <w:t>7</w:t>
            </w:r>
          </w:p>
        </w:tc>
        <w:tc>
          <w:tcPr>
            <w:tcW w:w="749" w:type="pct"/>
            <w:vAlign w:val="center"/>
          </w:tcPr>
          <w:p>
            <w:pPr>
              <w:spacing w:line="360" w:lineRule="auto"/>
              <w:jc w:val="center"/>
              <w:rPr>
                <w:rFonts w:hint="eastAsia" w:ascii="宋体" w:hAnsi="宋体" w:eastAsia="宋体" w:cs="@仿宋_GB2312"/>
                <w:kern w:val="2"/>
                <w:sz w:val="24"/>
                <w:szCs w:val="22"/>
                <w:highlight w:val="none"/>
                <w:lang w:eastAsia="zh-CN"/>
              </w:rPr>
            </w:pPr>
            <w:r>
              <w:rPr>
                <w:rFonts w:hint="eastAsia" w:ascii="宋体" w:hAnsi="宋体" w:eastAsia="宋体" w:cs="@仿宋_GB2312"/>
                <w:bCs/>
                <w:kern w:val="2"/>
                <w:sz w:val="24"/>
                <w:szCs w:val="28"/>
                <w:highlight w:val="none"/>
              </w:rPr>
              <w:t>初审业绩</w:t>
            </w:r>
          </w:p>
        </w:tc>
        <w:tc>
          <w:tcPr>
            <w:tcW w:w="3688" w:type="pct"/>
            <w:vAlign w:val="center"/>
          </w:tcPr>
          <w:p>
            <w:pPr>
              <w:spacing w:line="360" w:lineRule="auto"/>
              <w:rPr>
                <w:rFonts w:ascii="Calibri" w:hAnsi="Calibri" w:eastAsia="宋体" w:cs="宋体"/>
                <w:kern w:val="2"/>
                <w:sz w:val="24"/>
                <w:szCs w:val="22"/>
                <w:highlight w:val="none"/>
              </w:rPr>
            </w:pPr>
            <w:r>
              <w:rPr>
                <w:rFonts w:hint="eastAsia" w:ascii="Calibri" w:hAnsi="Calibri" w:eastAsia="宋体" w:cs="宋体"/>
                <w:kern w:val="2"/>
                <w:sz w:val="24"/>
                <w:szCs w:val="22"/>
                <w:highlight w:val="none"/>
              </w:rPr>
              <w:t>自20</w:t>
            </w:r>
            <w:r>
              <w:rPr>
                <w:rFonts w:hint="eastAsia" w:ascii="Calibri" w:hAnsi="Calibri" w:eastAsia="宋体" w:cs="宋体"/>
                <w:kern w:val="2"/>
                <w:sz w:val="24"/>
                <w:szCs w:val="22"/>
                <w:highlight w:val="none"/>
                <w:lang w:val="en-US" w:eastAsia="zh-CN"/>
              </w:rPr>
              <w:t>21</w:t>
            </w:r>
            <w:r>
              <w:rPr>
                <w:rFonts w:hint="eastAsia" w:ascii="Calibri" w:hAnsi="Calibri" w:eastAsia="宋体" w:cs="宋体"/>
                <w:kern w:val="2"/>
                <w:sz w:val="24"/>
                <w:szCs w:val="22"/>
                <w:highlight w:val="none"/>
              </w:rPr>
              <w:t>年</w:t>
            </w:r>
            <w:r>
              <w:rPr>
                <w:rFonts w:hint="eastAsia" w:ascii="Calibri" w:hAnsi="Calibri" w:eastAsia="宋体" w:cs="宋体"/>
                <w:kern w:val="2"/>
                <w:sz w:val="24"/>
                <w:szCs w:val="22"/>
                <w:highlight w:val="none"/>
                <w:lang w:val="en-US" w:eastAsia="zh-CN"/>
              </w:rPr>
              <w:t>6</w:t>
            </w:r>
            <w:r>
              <w:rPr>
                <w:rFonts w:hint="eastAsia" w:ascii="Calibri" w:hAnsi="Calibri" w:eastAsia="宋体" w:cs="宋体"/>
                <w:kern w:val="2"/>
                <w:sz w:val="24"/>
                <w:szCs w:val="22"/>
                <w:highlight w:val="none"/>
              </w:rPr>
              <w:t>月1日以来（以合同签订时间为准），供应商具有单个施工合同金额不低于50万元的装饰装修施工业绩。</w:t>
            </w:r>
          </w:p>
          <w:p>
            <w:pPr>
              <w:spacing w:line="360" w:lineRule="auto"/>
              <w:jc w:val="left"/>
              <w:rPr>
                <w:rFonts w:ascii="宋体" w:hAnsi="宋体" w:eastAsia="宋体" w:cs="@仿宋_GB2312"/>
                <w:b/>
                <w:bCs/>
                <w:kern w:val="2"/>
                <w:sz w:val="24"/>
                <w:szCs w:val="22"/>
                <w:highlight w:val="none"/>
              </w:rPr>
            </w:pPr>
            <w:r>
              <w:rPr>
                <w:rFonts w:hint="eastAsia" w:ascii="Calibri" w:hAnsi="Calibri" w:eastAsia="宋体" w:cs="宋体"/>
                <w:b/>
                <w:bCs/>
                <w:kern w:val="2"/>
                <w:sz w:val="24"/>
                <w:szCs w:val="22"/>
                <w:highlight w:val="none"/>
              </w:rPr>
              <w:t>注：响应文件中须同时提供业绩合同及相应的交/竣工验收证明文件扫描件。如前述证明材料无法体现合同签订时间、工程内容等评审因素的，须另提供加盖有业主单位公章的证明材料予以辅证。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kern w:val="2"/>
                <w:sz w:val="24"/>
                <w:szCs w:val="22"/>
                <w:highlight w:val="none"/>
              </w:rPr>
            </w:pPr>
            <w:r>
              <w:rPr>
                <w:rFonts w:hint="eastAsia" w:ascii="宋体" w:hAnsi="宋体" w:eastAsia="宋体" w:cs="@仿宋_GB2312"/>
                <w:kern w:val="2"/>
                <w:sz w:val="24"/>
                <w:szCs w:val="22"/>
                <w:highlight w:val="none"/>
              </w:rPr>
              <w:t>8</w:t>
            </w:r>
          </w:p>
        </w:tc>
        <w:tc>
          <w:tcPr>
            <w:tcW w:w="749" w:type="pct"/>
            <w:vAlign w:val="center"/>
          </w:tcPr>
          <w:p>
            <w:pPr>
              <w:spacing w:line="360" w:lineRule="auto"/>
              <w:rPr>
                <w:rFonts w:hint="default" w:ascii="宋体" w:hAnsi="宋体" w:eastAsia="宋体" w:cs="@仿宋_GB2312"/>
                <w:kern w:val="2"/>
                <w:sz w:val="24"/>
                <w:szCs w:val="22"/>
                <w:highlight w:val="none"/>
                <w:lang w:val="en-US" w:eastAsia="zh-CN"/>
              </w:rPr>
            </w:pPr>
            <w:r>
              <w:rPr>
                <w:rFonts w:hint="eastAsia" w:ascii="宋体" w:hAnsi="宋体" w:eastAsia="宋体" w:cs="@仿宋_GB2312"/>
                <w:kern w:val="2"/>
                <w:sz w:val="24"/>
                <w:szCs w:val="22"/>
                <w:highlight w:val="none"/>
                <w:lang w:val="en-US" w:eastAsia="zh-CN"/>
              </w:rPr>
              <w:t>付款方式</w:t>
            </w:r>
          </w:p>
        </w:tc>
        <w:tc>
          <w:tcPr>
            <w:tcW w:w="3688" w:type="pct"/>
            <w:vAlign w:val="center"/>
          </w:tcPr>
          <w:p>
            <w:pPr>
              <w:numPr>
                <w:ilvl w:val="0"/>
                <w:numId w:val="1"/>
              </w:numPr>
              <w:spacing w:line="360" w:lineRule="auto"/>
              <w:rPr>
                <w:rFonts w:hint="eastAsia" w:ascii="宋体" w:hAnsi="宋体" w:eastAsia="宋体" w:cs="宋体"/>
                <w:kern w:val="2"/>
                <w:sz w:val="24"/>
                <w:szCs w:val="22"/>
                <w:highlight w:val="none"/>
                <w:lang w:val="en-US" w:eastAsia="zh-CN"/>
              </w:rPr>
            </w:pPr>
            <w:r>
              <w:rPr>
                <w:rFonts w:hint="eastAsia" w:ascii="宋体" w:hAnsi="宋体" w:eastAsia="宋体" w:cs="宋体"/>
                <w:kern w:val="2"/>
                <w:sz w:val="24"/>
                <w:szCs w:val="22"/>
                <w:highlight w:val="none"/>
                <w:lang w:val="en-US" w:eastAsia="zh-CN"/>
              </w:rPr>
              <w:t>竣工验收合格后支付工程竣工审计价的 97%，剩余 3% 作为质保金，待 2 年缺陷责任期满后一次性退还。</w:t>
            </w:r>
          </w:p>
          <w:p>
            <w:pPr>
              <w:numPr>
                <w:ilvl w:val="0"/>
                <w:numId w:val="1"/>
              </w:numPr>
              <w:spacing w:line="360" w:lineRule="auto"/>
              <w:rPr>
                <w:rFonts w:hint="default" w:ascii="宋体" w:hAnsi="宋体" w:eastAsia="宋体" w:cs="宋体"/>
                <w:kern w:val="2"/>
                <w:sz w:val="24"/>
                <w:szCs w:val="22"/>
                <w:highlight w:val="none"/>
                <w:lang w:val="en-US" w:eastAsia="zh-CN"/>
              </w:rPr>
            </w:pPr>
            <w:r>
              <w:rPr>
                <w:rFonts w:hint="eastAsia" w:ascii="宋体" w:hAnsi="宋体" w:eastAsia="宋体" w:cs="宋体"/>
                <w:kern w:val="2"/>
                <w:sz w:val="24"/>
                <w:szCs w:val="22"/>
                <w:highlight w:val="none"/>
                <w:lang w:val="en-US" w:eastAsia="zh-CN"/>
              </w:rPr>
              <w:t>缺陷责任期：</w:t>
            </w:r>
            <w:r>
              <w:rPr>
                <w:rFonts w:hint="eastAsia" w:ascii="宋体" w:hAnsi="宋体" w:eastAsia="宋体" w:cs="宋体"/>
                <w:kern w:val="2"/>
                <w:sz w:val="24"/>
                <w:szCs w:val="22"/>
                <w:highlight w:val="none"/>
              </w:rPr>
              <w:t>竣工验收合格</w:t>
            </w:r>
            <w:r>
              <w:rPr>
                <w:rFonts w:hint="eastAsia" w:ascii="宋体" w:hAnsi="宋体" w:eastAsia="宋体" w:cs="宋体"/>
                <w:kern w:val="2"/>
                <w:sz w:val="24"/>
                <w:szCs w:val="22"/>
                <w:highlight w:val="none"/>
                <w:lang w:val="en-US" w:eastAsia="zh-CN"/>
              </w:rPr>
              <w:t>之日</w:t>
            </w:r>
            <w:r>
              <w:rPr>
                <w:rFonts w:hint="eastAsia" w:ascii="宋体" w:hAnsi="宋体" w:eastAsia="宋体" w:cs="宋体"/>
                <w:kern w:val="2"/>
                <w:sz w:val="24"/>
                <w:szCs w:val="22"/>
                <w:highlight w:val="none"/>
              </w:rPr>
              <w:t>起2年</w:t>
            </w:r>
            <w:r>
              <w:rPr>
                <w:rFonts w:hint="eastAsia" w:ascii="宋体" w:hAnsi="宋体" w:eastAsia="宋体" w:cs="宋体"/>
                <w:kern w:val="2"/>
                <w:sz w:val="24"/>
                <w:szCs w:val="22"/>
                <w:highlight w:val="none"/>
                <w:lang w:val="en-US" w:eastAsia="zh-CN"/>
              </w:rPr>
              <w:t>。</w:t>
            </w:r>
          </w:p>
          <w:p>
            <w:pPr>
              <w:spacing w:line="500" w:lineRule="exact"/>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val="en-US" w:eastAsia="zh-CN" w:bidi="ar"/>
              </w:rPr>
              <w:t xml:space="preserve">备注：（1）如中标人采用“银行保函或保证保险等方式”提交等额工程质量保证金，则在工程竣工结算完成后招标人应付至最终结算价款的 100%； </w:t>
            </w:r>
          </w:p>
          <w:p>
            <w:pPr>
              <w:spacing w:line="500" w:lineRule="exact"/>
              <w:rPr>
                <w:rFonts w:ascii="宋体" w:hAnsi="宋体" w:eastAsia="宋体" w:cs="Times New Roman"/>
                <w:kern w:val="2"/>
                <w:sz w:val="21"/>
                <w:szCs w:val="22"/>
                <w:highlight w:val="none"/>
              </w:rPr>
            </w:pPr>
            <w:r>
              <w:rPr>
                <w:rFonts w:hint="eastAsia" w:ascii="宋体" w:hAnsi="宋体" w:eastAsia="宋体" w:cs="宋体"/>
                <w:b/>
                <w:bCs/>
                <w:color w:val="auto"/>
                <w:kern w:val="2"/>
                <w:sz w:val="24"/>
                <w:szCs w:val="24"/>
                <w:highlight w:val="none"/>
                <w:lang w:val="en-US" w:eastAsia="zh-CN" w:bidi="ar"/>
              </w:rPr>
              <w:t xml:space="preserve">（2）上述“银行保函或保证保险等方式”的格式详见合肥市城乡建设局 2020 年 3 月 5 日所发的《关于以保函等方式替代工程质量保证金的通知》中的示范文本为准，且该保函所载明保证责任最高限额为结算定案价的 3%，保函的有效期为 2 年。 </w:t>
            </w:r>
          </w:p>
        </w:tc>
      </w:tr>
    </w:tbl>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lang w:val="en-US" w:eastAsia="zh-CN"/>
        </w:rPr>
        <w:t>1、推荐品牌表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160"/>
        <w:gridCol w:w="3735"/>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序号</w:t>
            </w:r>
          </w:p>
        </w:tc>
        <w:tc>
          <w:tcPr>
            <w:tcW w:w="2160"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材料名称</w:t>
            </w:r>
          </w:p>
        </w:tc>
        <w:tc>
          <w:tcPr>
            <w:tcW w:w="3735"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参考品牌</w:t>
            </w:r>
          </w:p>
        </w:tc>
        <w:tc>
          <w:tcPr>
            <w:tcW w:w="1604"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1</w:t>
            </w:r>
          </w:p>
        </w:tc>
        <w:tc>
          <w:tcPr>
            <w:tcW w:w="2160"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铝扣板</w:t>
            </w:r>
          </w:p>
        </w:tc>
        <w:tc>
          <w:tcPr>
            <w:tcW w:w="3735"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法狮龙、奥华、百思特</w:t>
            </w:r>
          </w:p>
        </w:tc>
        <w:tc>
          <w:tcPr>
            <w:tcW w:w="1604"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2</w:t>
            </w:r>
          </w:p>
        </w:tc>
        <w:tc>
          <w:tcPr>
            <w:tcW w:w="2160"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 xml:space="preserve">铝塑板 </w:t>
            </w:r>
          </w:p>
        </w:tc>
        <w:tc>
          <w:tcPr>
            <w:tcW w:w="3735"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奥普、上海吉祥、百思特</w:t>
            </w:r>
          </w:p>
        </w:tc>
        <w:tc>
          <w:tcPr>
            <w:tcW w:w="1604"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3</w:t>
            </w:r>
          </w:p>
        </w:tc>
        <w:tc>
          <w:tcPr>
            <w:tcW w:w="2160"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洗手池（台盆）</w:t>
            </w:r>
          </w:p>
        </w:tc>
        <w:tc>
          <w:tcPr>
            <w:tcW w:w="3735"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TOTO、恒洁、科勒</w:t>
            </w:r>
          </w:p>
        </w:tc>
        <w:tc>
          <w:tcPr>
            <w:tcW w:w="1604"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4</w:t>
            </w:r>
          </w:p>
        </w:tc>
        <w:tc>
          <w:tcPr>
            <w:tcW w:w="2160"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水龙头</w:t>
            </w:r>
          </w:p>
        </w:tc>
        <w:tc>
          <w:tcPr>
            <w:tcW w:w="3735"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TOTO、恒洁、科勒</w:t>
            </w:r>
          </w:p>
        </w:tc>
        <w:tc>
          <w:tcPr>
            <w:tcW w:w="1604"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5</w:t>
            </w:r>
          </w:p>
        </w:tc>
        <w:tc>
          <w:tcPr>
            <w:tcW w:w="2160"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木门</w:t>
            </w:r>
          </w:p>
        </w:tc>
        <w:tc>
          <w:tcPr>
            <w:tcW w:w="3735" w:type="dxa"/>
          </w:tcPr>
          <w:p>
            <w:pPr>
              <w:spacing w:line="360" w:lineRule="auto"/>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步阳、TATA、盼盼</w:t>
            </w:r>
          </w:p>
        </w:tc>
        <w:tc>
          <w:tcPr>
            <w:tcW w:w="1604"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6</w:t>
            </w:r>
          </w:p>
        </w:tc>
        <w:tc>
          <w:tcPr>
            <w:tcW w:w="2160"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木门套</w:t>
            </w:r>
          </w:p>
        </w:tc>
        <w:tc>
          <w:tcPr>
            <w:tcW w:w="3735"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步阳、TATA、盼盼</w:t>
            </w:r>
          </w:p>
        </w:tc>
        <w:tc>
          <w:tcPr>
            <w:tcW w:w="1604" w:type="dxa"/>
          </w:tcPr>
          <w:p>
            <w:pPr>
              <w:spacing w:line="360" w:lineRule="auto"/>
              <w:jc w:val="center"/>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7</w:t>
            </w:r>
          </w:p>
        </w:tc>
        <w:tc>
          <w:tcPr>
            <w:tcW w:w="2160"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轻钢龙骨</w:t>
            </w:r>
          </w:p>
        </w:tc>
        <w:tc>
          <w:tcPr>
            <w:tcW w:w="3735"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拉法基、龙牌、泰山</w:t>
            </w:r>
          </w:p>
        </w:tc>
        <w:tc>
          <w:tcPr>
            <w:tcW w:w="1604" w:type="dxa"/>
          </w:tcPr>
          <w:p>
            <w:pPr>
              <w:spacing w:line="360" w:lineRule="auto"/>
              <w:jc w:val="center"/>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8</w:t>
            </w:r>
          </w:p>
        </w:tc>
        <w:tc>
          <w:tcPr>
            <w:tcW w:w="2160"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石膏板</w:t>
            </w:r>
          </w:p>
        </w:tc>
        <w:tc>
          <w:tcPr>
            <w:tcW w:w="3735"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拉法基、龙牌、泰山</w:t>
            </w:r>
          </w:p>
        </w:tc>
        <w:tc>
          <w:tcPr>
            <w:tcW w:w="1604" w:type="dxa"/>
          </w:tcPr>
          <w:p>
            <w:pPr>
              <w:spacing w:line="360" w:lineRule="auto"/>
              <w:jc w:val="center"/>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eastAsia"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9</w:t>
            </w:r>
          </w:p>
        </w:tc>
        <w:tc>
          <w:tcPr>
            <w:tcW w:w="2160"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18mm 阻燃胶合板</w:t>
            </w:r>
          </w:p>
        </w:tc>
        <w:tc>
          <w:tcPr>
            <w:tcW w:w="3735"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莫干山、兔宝宝、千年舟</w:t>
            </w:r>
          </w:p>
        </w:tc>
        <w:tc>
          <w:tcPr>
            <w:tcW w:w="1604" w:type="dxa"/>
          </w:tcPr>
          <w:p>
            <w:pPr>
              <w:spacing w:line="360" w:lineRule="auto"/>
              <w:jc w:val="center"/>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10</w:t>
            </w:r>
          </w:p>
        </w:tc>
        <w:tc>
          <w:tcPr>
            <w:tcW w:w="2160"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结构胶、密封胶</w:t>
            </w:r>
          </w:p>
        </w:tc>
        <w:tc>
          <w:tcPr>
            <w:tcW w:w="3735"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广州白云、杭州之江、硅宝</w:t>
            </w:r>
          </w:p>
        </w:tc>
        <w:tc>
          <w:tcPr>
            <w:tcW w:w="1604" w:type="dxa"/>
          </w:tcPr>
          <w:p>
            <w:pPr>
              <w:spacing w:line="360" w:lineRule="auto"/>
              <w:jc w:val="center"/>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spacing w:line="360" w:lineRule="auto"/>
              <w:jc w:val="center"/>
              <w:rPr>
                <w:rFonts w:hint="default" w:ascii="宋体" w:hAnsi="宋体" w:eastAsia="宋体" w:cs="Times New Roman"/>
                <w:kern w:val="0"/>
                <w:sz w:val="24"/>
                <w:highlight w:val="none"/>
                <w:vertAlign w:val="baseline"/>
                <w:lang w:val="en-US" w:eastAsia="zh-CN"/>
              </w:rPr>
            </w:pPr>
            <w:r>
              <w:rPr>
                <w:rFonts w:hint="eastAsia" w:ascii="宋体" w:hAnsi="宋体" w:eastAsia="宋体" w:cs="Times New Roman"/>
                <w:kern w:val="0"/>
                <w:sz w:val="24"/>
                <w:highlight w:val="none"/>
                <w:vertAlign w:val="baseline"/>
                <w:lang w:val="en-US" w:eastAsia="zh-CN"/>
              </w:rPr>
              <w:t>11</w:t>
            </w:r>
          </w:p>
        </w:tc>
        <w:tc>
          <w:tcPr>
            <w:tcW w:w="2160"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无机涂料</w:t>
            </w:r>
          </w:p>
        </w:tc>
        <w:tc>
          <w:tcPr>
            <w:tcW w:w="3735" w:type="dxa"/>
          </w:tcPr>
          <w:p>
            <w:pPr>
              <w:spacing w:line="360" w:lineRule="auto"/>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立邦、多乐士、华润</w:t>
            </w:r>
          </w:p>
        </w:tc>
        <w:tc>
          <w:tcPr>
            <w:tcW w:w="1604" w:type="dxa"/>
          </w:tcPr>
          <w:p>
            <w:pPr>
              <w:spacing w:line="360" w:lineRule="auto"/>
              <w:jc w:val="center"/>
              <w:rPr>
                <w:rFonts w:ascii="宋体" w:hAnsi="宋体" w:eastAsia="宋体" w:cs="Times New Roman"/>
                <w:kern w:val="0"/>
                <w:sz w:val="24"/>
                <w:highlight w:val="none"/>
                <w:vertAlign w:val="baseline"/>
              </w:rPr>
            </w:pPr>
            <w:r>
              <w:rPr>
                <w:rFonts w:hint="eastAsia" w:ascii="宋体" w:hAnsi="宋体" w:eastAsia="宋体" w:cs="Times New Roman"/>
                <w:kern w:val="0"/>
                <w:sz w:val="24"/>
                <w:highlight w:val="none"/>
                <w:vertAlign w:val="baseline"/>
                <w:lang w:val="en-US" w:eastAsia="zh-CN"/>
              </w:rPr>
              <w:t>国标</w:t>
            </w:r>
          </w:p>
        </w:tc>
      </w:tr>
    </w:tbl>
    <w:p>
      <w:pPr>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 xml:space="preserve">注：参考品牌不得少于三个，对于采购人参考品牌的材料、设备，供应商可选用参考品牌或不低于参考品牌技术性能指标的其他品牌；采用其他品牌的应在响应文件中注明并提供相关技术性能指标、业绩等供磋商小组评审，未在响应文件中注明且未提供相关技术性能指标、业绩，或经磋商小组评审未通过的，成交后只能从采购人参考品牌中进行选择，合同价格不予调整。 </w:t>
      </w:r>
    </w:p>
    <w:p>
      <w:pPr>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 xml:space="preserve">如图纸中出现特定性、唯一性品牌的表述，该品牌仅作为参考，施工过程中不具有限定性。 </w:t>
      </w:r>
    </w:p>
    <w:p>
      <w:pPr>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 xml:space="preserve">2、材料要求：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 </w:t>
      </w:r>
    </w:p>
    <w:p>
      <w:pPr>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 xml:space="preserve">3、本项目采用预拌砂浆。 </w:t>
      </w:r>
    </w:p>
    <w:p>
      <w:pPr>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4、由于医院的特殊性，为保证医院正常诊疗不受影响，本项目施工时间可能涉及夜间施工，请供应商知悉，成交后不予调整。</w:t>
      </w:r>
    </w:p>
    <w:p>
      <w:pPr>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5、成交供应商必须确保整体通过采购人及有关主管部门验收；供应商应自行踏勘项目现场，如供应商因未及时踏勘现场而导致的报价缺项漏项废标、或中标后无法完工，供应商自行承担一切后果； </w:t>
      </w:r>
    </w:p>
    <w:p>
      <w:pPr>
        <w:spacing w:line="360" w:lineRule="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 xml:space="preserve">6、各项零星维修工作的要求、工艺、工程量详见工程量清单及品牌推荐表，原则上不得低于该清单要求提供维修施工服务；成交供应商不得擅自更改相关参数要求，如提供该清单描述以外同等档次品牌或高于该档次品牌的材料时，须征得采购人同意。未经采购人认定的材料严禁在本项目使用，已进场的材料需无条件退场，产生的一切费用由成交供应商自负； </w:t>
      </w:r>
    </w:p>
    <w:p>
      <w:pPr>
        <w:spacing w:line="360" w:lineRule="auto"/>
        <w:ind w:firstLine="480" w:firstLineChars="200"/>
        <w:rPr>
          <w:rFonts w:hint="eastAsia" w:ascii="宋体" w:hAnsi="宋体" w:eastAsia="宋体" w:cs="宋体"/>
          <w:sz w:val="24"/>
          <w:szCs w:val="24"/>
        </w:rPr>
      </w:pPr>
      <w:r>
        <w:rPr>
          <w:rFonts w:hint="eastAsia" w:ascii="宋体" w:hAnsi="宋体" w:eastAsia="宋体" w:cs="Times New Roman"/>
          <w:kern w:val="0"/>
          <w:sz w:val="24"/>
          <w:highlight w:val="none"/>
          <w:lang w:val="en-US" w:eastAsia="zh-CN"/>
        </w:rPr>
        <w:t xml:space="preserve">7、如对本磋商文件有任何疑问或澄清要求，请按本磋商文件中约定方式联系采购人，或在询问截止时间前联系采购人，否则视同理解和接受，开标后采购人不再受理对磋商文件条款提出的质疑。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EEC5"/>
    <w:multiLevelType w:val="singleLevel"/>
    <w:tmpl w:val="09E1EE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TgyZDY1NTVkZjMxMzBmMzk4N2MzNGE5MTQwYmIifQ=="/>
  </w:docVars>
  <w:rsids>
    <w:rsidRoot w:val="00000000"/>
    <w:rsid w:val="1C332E62"/>
    <w:rsid w:val="2E6148F1"/>
    <w:rsid w:val="40D25D8B"/>
    <w:rsid w:val="40D47FDA"/>
    <w:rsid w:val="49FB277C"/>
    <w:rsid w:val="5BB7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 w:type="table" w:customStyle="1" w:styleId="10">
    <w:name w:val="网格型2"/>
    <w:basedOn w:val="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Words>
  <Characters>18</Characters>
  <Lines>0</Lines>
  <Paragraphs>0</Paragraphs>
  <TotalTime>0</TotalTime>
  <ScaleCrop>false</ScaleCrop>
  <LinksUpToDate>false</LinksUpToDate>
  <CharactersWithSpaces>18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2024-03-13T05:56:00Z</dcterms:created>
  <dc:creator>admin</dc:creator>
  <cp:lastModifiedBy>Cai Ouyang</cp:lastModifiedBy>
  <dcterms:modified xsi:type="dcterms:W3CDTF">2024-05-10T09:58:31Z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920D55988FB74A22B95427B2CD3CF535_12</vt:lpwstr>
  </property>
</Properties>
</file>