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服务需求</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（仅供参考）</w:t>
      </w: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1"/>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4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4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43"/>
              <w:widowControl w:val="0"/>
              <w:spacing w:before="0" w:beforeAutospacing="0" w:after="0" w:afterAutospacing="0" w:line="360" w:lineRule="auto"/>
              <w:rPr>
                <w:rFonts w:ascii="宋体" w:hAnsi="宋体" w:eastAsia="宋体" w:cs="@仿宋_GB2312"/>
                <w:b w:val="0"/>
                <w:bCs/>
                <w:kern w:val="0"/>
                <w:sz w:val="24"/>
                <w:szCs w:val="28"/>
                <w:lang w:val="en-US" w:eastAsia="zh-CN" w:bidi="ar-SA"/>
              </w:rPr>
            </w:pPr>
            <w:r>
              <w:rPr>
                <w:rFonts w:hint="eastAsia" w:ascii="宋体" w:hAnsi="宋体" w:eastAsia="宋体"/>
                <w:b w:val="0"/>
                <w:sz w:val="24"/>
              </w:rPr>
              <w:t>付款方式</w:t>
            </w:r>
          </w:p>
        </w:tc>
        <w:tc>
          <w:tcPr>
            <w:tcW w:w="3217" w:type="pct"/>
            <w:vAlign w:val="center"/>
          </w:tcPr>
          <w:p>
            <w:pPr>
              <w:pStyle w:val="43"/>
              <w:widowControl w:val="0"/>
              <w:spacing w:before="0" w:beforeAutospacing="0" w:after="0" w:afterAutospacing="0" w:line="360" w:lineRule="auto"/>
              <w:jc w:val="both"/>
              <w:rPr>
                <w:rFonts w:hint="default" w:ascii="宋体" w:hAnsi="宋体" w:eastAsia="宋体" w:cs="@仿宋_GB2312"/>
                <w:b w:val="0"/>
                <w:bCs/>
                <w:kern w:val="0"/>
                <w:sz w:val="24"/>
                <w:szCs w:val="28"/>
                <w:u w:val="single"/>
                <w:lang w:val="en-US" w:eastAsia="zh-CN" w:bidi="ar-SA"/>
              </w:rPr>
            </w:pPr>
            <w:r>
              <w:rPr>
                <w:rFonts w:hint="eastAsia" w:ascii="宋体" w:hAnsi="宋体" w:eastAsia="宋体"/>
                <w:b w:val="0"/>
                <w:bCs/>
                <w:sz w:val="24"/>
                <w:szCs w:val="18"/>
                <w:lang w:val="en-US" w:eastAsia="zh-CN"/>
              </w:rPr>
              <w:t>按季度支付。每季度结束后，采购人在收到中标人该季度服务发票及能源缴纳费用凭证复印件后，15 个日历日内支付该季度的托管费用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43"/>
              <w:widowControl w:val="0"/>
              <w:spacing w:before="0" w:beforeAutospacing="0" w:after="0" w:afterAutospacing="0" w:line="360" w:lineRule="auto"/>
              <w:rPr>
                <w:rFonts w:ascii="宋体" w:hAnsi="宋体" w:eastAsia="宋体" w:cs="@仿宋_GB2312"/>
                <w:b w:val="0"/>
                <w:bCs/>
                <w:kern w:val="0"/>
                <w:sz w:val="24"/>
                <w:szCs w:val="28"/>
                <w:lang w:val="en-US" w:eastAsia="zh-CN" w:bidi="ar-SA"/>
              </w:rPr>
            </w:pPr>
            <w:r>
              <w:rPr>
                <w:rFonts w:hint="eastAsia" w:ascii="宋体" w:hAnsi="宋体" w:eastAsia="宋体"/>
                <w:b w:val="0"/>
                <w:sz w:val="24"/>
              </w:rPr>
              <w:t>服务地点</w:t>
            </w:r>
          </w:p>
        </w:tc>
        <w:tc>
          <w:tcPr>
            <w:tcW w:w="3217" w:type="pct"/>
            <w:vAlign w:val="center"/>
          </w:tcPr>
          <w:p>
            <w:pPr>
              <w:pStyle w:val="43"/>
              <w:widowControl w:val="0"/>
              <w:spacing w:before="0" w:beforeAutospacing="0" w:after="0" w:afterAutospacing="0" w:line="360" w:lineRule="auto"/>
              <w:jc w:val="both"/>
              <w:rPr>
                <w:rFonts w:hint="default" w:ascii="宋体" w:hAnsi="宋体" w:eastAsia="宋体" w:cs="@仿宋_GB2312"/>
                <w:b w:val="0"/>
                <w:bCs/>
                <w:kern w:val="0"/>
                <w:sz w:val="24"/>
                <w:szCs w:val="28"/>
                <w:lang w:val="en-US" w:eastAsia="zh-CN" w:bidi="ar-SA"/>
              </w:rPr>
            </w:pPr>
            <w:r>
              <w:rPr>
                <w:rFonts w:hint="eastAsia" w:ascii="宋体" w:hAnsi="宋体" w:eastAsia="宋体"/>
                <w:b w:val="0"/>
                <w:sz w:val="24"/>
              </w:rPr>
              <w:t>合肥市妇幼保健院</w:t>
            </w:r>
            <w:r>
              <w:rPr>
                <w:rFonts w:hint="eastAsia" w:ascii="宋体" w:hAnsi="宋体" w:eastAsia="宋体"/>
                <w:b w:val="0"/>
                <w:sz w:val="24"/>
                <w:lang w:eastAsia="zh-CN"/>
              </w:rPr>
              <w:t>，</w:t>
            </w:r>
            <w:r>
              <w:rPr>
                <w:rFonts w:hint="eastAsia" w:ascii="宋体" w:hAnsi="宋体" w:eastAsia="宋体"/>
                <w:b w:val="0"/>
                <w:sz w:val="24"/>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43"/>
              <w:widowControl w:val="0"/>
              <w:spacing w:before="0" w:beforeAutospacing="0" w:after="0" w:afterAutospacing="0" w:line="360" w:lineRule="auto"/>
              <w:rPr>
                <w:rFonts w:ascii="宋体" w:hAnsi="宋体" w:eastAsia="宋体" w:cs="@仿宋_GB2312"/>
                <w:b w:val="0"/>
                <w:bCs/>
                <w:kern w:val="0"/>
                <w:sz w:val="24"/>
                <w:szCs w:val="28"/>
                <w:highlight w:val="none"/>
                <w:lang w:val="en-US" w:eastAsia="zh-CN" w:bidi="ar-SA"/>
              </w:rPr>
            </w:pPr>
            <w:r>
              <w:rPr>
                <w:rFonts w:hint="eastAsia" w:ascii="宋体" w:hAnsi="宋体" w:eastAsia="宋体"/>
                <w:b w:val="0"/>
                <w:sz w:val="24"/>
                <w:highlight w:val="none"/>
              </w:rPr>
              <w:t>服务期限</w:t>
            </w:r>
          </w:p>
        </w:tc>
        <w:tc>
          <w:tcPr>
            <w:tcW w:w="32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仿宋_GB2312"/>
                <w:b w:val="0"/>
                <w:bCs/>
                <w:kern w:val="0"/>
                <w:sz w:val="24"/>
                <w:szCs w:val="28"/>
                <w:highlight w:val="none"/>
                <w:lang w:val="en-US" w:eastAsia="zh-CN" w:bidi="ar-SA"/>
              </w:rPr>
            </w:pPr>
            <w:r>
              <w:rPr>
                <w:rFonts w:hint="eastAsia" w:asciiTheme="minorEastAsia" w:hAnsiTheme="minorEastAsia" w:eastAsiaTheme="minorEastAsia" w:cstheme="minorEastAsia"/>
                <w:b w:val="0"/>
                <w:bCs/>
                <w:sz w:val="24"/>
                <w:szCs w:val="18"/>
                <w:lang w:val="en-US" w:eastAsia="zh-CN"/>
              </w:rPr>
              <w:t>改造</w:t>
            </w:r>
            <w:r>
              <w:rPr>
                <w:rFonts w:hint="eastAsia" w:asciiTheme="minorEastAsia" w:hAnsiTheme="minorEastAsia" w:eastAsiaTheme="minorEastAsia" w:cstheme="minorEastAsia"/>
                <w:b w:val="0"/>
                <w:bCs/>
                <w:sz w:val="24"/>
                <w:szCs w:val="18"/>
              </w:rPr>
              <w:t>工期：合同签订</w:t>
            </w:r>
            <w:r>
              <w:rPr>
                <w:rFonts w:hint="eastAsia" w:asciiTheme="minorEastAsia" w:hAnsiTheme="minorEastAsia" w:eastAsiaTheme="minorEastAsia" w:cstheme="minorEastAsia"/>
                <w:b w:val="0"/>
                <w:bCs/>
                <w:sz w:val="24"/>
                <w:szCs w:val="18"/>
                <w:lang w:val="en-US" w:eastAsia="zh-CN"/>
              </w:rPr>
              <w:t>后</w:t>
            </w:r>
            <w:r>
              <w:rPr>
                <w:rFonts w:hint="eastAsia" w:asciiTheme="minorEastAsia" w:hAnsiTheme="minorEastAsia" w:eastAsiaTheme="minorEastAsia" w:cstheme="minorEastAsia"/>
                <w:b w:val="0"/>
                <w:bCs/>
                <w:sz w:val="24"/>
                <w:szCs w:val="18"/>
              </w:rPr>
              <w:t>90</w:t>
            </w:r>
            <w:r>
              <w:rPr>
                <w:rFonts w:hint="eastAsia" w:asciiTheme="minorEastAsia" w:hAnsiTheme="minorEastAsia" w:eastAsiaTheme="minorEastAsia" w:cstheme="minorEastAsia"/>
                <w:b w:val="0"/>
                <w:bCs/>
                <w:sz w:val="24"/>
                <w:szCs w:val="18"/>
                <w:lang w:val="en-US" w:eastAsia="zh-CN"/>
              </w:rPr>
              <w:t>个日历日内</w:t>
            </w:r>
            <w:r>
              <w:rPr>
                <w:rFonts w:hint="eastAsia" w:asciiTheme="minorEastAsia" w:hAnsiTheme="minorEastAsia" w:eastAsiaTheme="minorEastAsia" w:cstheme="minorEastAsia"/>
                <w:b w:val="0"/>
                <w:bCs/>
                <w:sz w:val="24"/>
                <w:szCs w:val="18"/>
              </w:rPr>
              <w:t>完成改造；</w:t>
            </w:r>
            <w:r>
              <w:rPr>
                <w:rFonts w:hint="eastAsia" w:asciiTheme="minorEastAsia" w:hAnsiTheme="minorEastAsia" w:eastAsiaTheme="minorEastAsia" w:cstheme="minorEastAsia"/>
                <w:b w:val="0"/>
                <w:bCs/>
                <w:sz w:val="24"/>
                <w:szCs w:val="18"/>
                <w:lang w:val="en-US" w:eastAsia="zh-CN"/>
              </w:rPr>
              <w:t>托管</w:t>
            </w:r>
            <w:r>
              <w:rPr>
                <w:rFonts w:hint="eastAsia" w:asciiTheme="minorEastAsia" w:hAnsiTheme="minorEastAsia" w:eastAsiaTheme="minorEastAsia" w:cstheme="minorEastAsia"/>
                <w:b w:val="0"/>
                <w:bCs/>
                <w:sz w:val="24"/>
                <w:szCs w:val="18"/>
                <w:highlight w:val="none"/>
              </w:rPr>
              <w:t>服务期：</w:t>
            </w:r>
            <w:r>
              <w:rPr>
                <w:rFonts w:hint="eastAsia" w:asciiTheme="minorEastAsia" w:hAnsiTheme="minorEastAsia" w:eastAsiaTheme="minorEastAsia" w:cstheme="minorEastAsia"/>
                <w:b w:val="0"/>
                <w:bCs/>
                <w:sz w:val="24"/>
                <w:szCs w:val="18"/>
                <w:highlight w:val="none"/>
                <w:lang w:val="en-US" w:eastAsia="zh-CN"/>
              </w:rPr>
              <w:t>改造验收合格后</w:t>
            </w:r>
            <w:r>
              <w:rPr>
                <w:rFonts w:hint="eastAsia" w:asciiTheme="minorEastAsia" w:hAnsiTheme="minorEastAsia" w:eastAsiaTheme="minorEastAsia" w:cstheme="minorEastAsia"/>
                <w:b w:val="0"/>
                <w:bCs/>
                <w:sz w:val="24"/>
                <w:szCs w:val="18"/>
                <w:highlight w:val="none"/>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43"/>
              <w:widowControl w:val="0"/>
              <w:spacing w:before="0" w:beforeAutospacing="0" w:after="0" w:afterAutospacing="0" w:line="360" w:lineRule="auto"/>
              <w:rPr>
                <w:rFonts w:hint="eastAsia" w:cs="@仿宋_GB2312" w:asciiTheme="majorEastAsia" w:hAnsiTheme="majorEastAsia" w:eastAsiaTheme="majorEastAsia"/>
                <w:b w:val="0"/>
                <w:bCs/>
                <w:kern w:val="0"/>
                <w:sz w:val="24"/>
                <w:szCs w:val="28"/>
                <w:lang w:val="en-US" w:eastAsia="zh-CN" w:bidi="ar-SA"/>
              </w:rPr>
            </w:pPr>
            <w:r>
              <w:rPr>
                <w:rFonts w:hint="eastAsia" w:ascii="宋体" w:hAnsi="宋体" w:eastAsia="宋体"/>
                <w:b w:val="0"/>
                <w:sz w:val="24"/>
              </w:rPr>
              <w:t>本项目采购标的所属行业</w:t>
            </w:r>
          </w:p>
        </w:tc>
        <w:tc>
          <w:tcPr>
            <w:tcW w:w="3217" w:type="pct"/>
            <w:vAlign w:val="center"/>
          </w:tcPr>
          <w:p>
            <w:pPr>
              <w:spacing w:line="360" w:lineRule="auto"/>
              <w:jc w:val="left"/>
              <w:rPr>
                <w:rFonts w:hint="eastAsia" w:cs="@仿宋_GB2312" w:asciiTheme="majorEastAsia" w:hAnsiTheme="majorEastAsia" w:eastAsiaTheme="majorEastAsia"/>
                <w:kern w:val="2"/>
                <w:sz w:val="24"/>
                <w:szCs w:val="20"/>
                <w:lang w:val="en-US" w:eastAsia="zh-CN" w:bidi="ar-SA"/>
              </w:rPr>
            </w:pPr>
            <w:r>
              <w:rPr>
                <w:rFonts w:hint="eastAsia" w:asciiTheme="majorEastAsia" w:hAnsiTheme="majorEastAsia" w:eastAsiaTheme="majorEastAsia"/>
                <w:sz w:val="24"/>
              </w:rPr>
              <w:t>其他未列明行业</w:t>
            </w:r>
          </w:p>
        </w:tc>
      </w:tr>
    </w:tbl>
    <w:p>
      <w:pPr>
        <w:spacing w:line="360" w:lineRule="auto"/>
        <w:ind w:firstLine="437"/>
        <w:rPr>
          <w:rFonts w:ascii="宋体" w:hAnsi="宋体" w:eastAsia="宋体"/>
          <w:b/>
          <w:sz w:val="24"/>
          <w:szCs w:val="18"/>
        </w:rPr>
      </w:pPr>
      <w:r>
        <w:rPr>
          <w:rFonts w:hint="eastAsia" w:ascii="宋体" w:hAnsi="宋体" w:eastAsia="宋体"/>
          <w:b/>
          <w:sz w:val="24"/>
          <w:szCs w:val="18"/>
        </w:rPr>
        <w:t>二、项目概况</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为深入贯彻习近平新时代中国特色社会主义思想，落实国家、省、市公共机构节能管理政策要求，推动公共机构管理工作，起到公共机构节能示范引领作用。本项目旨在通过实施技术、管理专业化能源解决方案，采用能源费用托管型合同能源管理方式，委托专业能源服务公司，利用国内外最新节能技术发展成果，统筹推进</w:t>
      </w:r>
      <w:r>
        <w:rPr>
          <w:rFonts w:hint="eastAsia" w:ascii="宋体" w:hAnsi="宋体" w:eastAsia="宋体"/>
          <w:b w:val="0"/>
          <w:bCs/>
          <w:sz w:val="24"/>
          <w:szCs w:val="18"/>
          <w:lang w:eastAsia="zh-CN"/>
        </w:rPr>
        <w:t>合肥市妇幼保健院</w:t>
      </w:r>
      <w:r>
        <w:rPr>
          <w:rFonts w:hint="eastAsia" w:ascii="宋体" w:hAnsi="宋体" w:eastAsia="宋体"/>
          <w:b w:val="0"/>
          <w:bCs/>
          <w:sz w:val="24"/>
          <w:szCs w:val="18"/>
        </w:rPr>
        <w:t>总院能源管理系统科学建设，提升能源综合利用水平，实现能源利用高效化、清洁化、智能化、数字化，降低院区的综合能耗。采购</w:t>
      </w:r>
      <w:r>
        <w:rPr>
          <w:rFonts w:hint="eastAsia" w:ascii="宋体" w:hAnsi="宋体" w:eastAsia="宋体"/>
          <w:b w:val="0"/>
          <w:bCs/>
          <w:sz w:val="24"/>
          <w:szCs w:val="18"/>
          <w:lang w:val="en-US" w:eastAsia="zh-CN"/>
        </w:rPr>
        <w:t>人</w:t>
      </w:r>
      <w:r>
        <w:rPr>
          <w:rFonts w:hint="eastAsia" w:ascii="宋体" w:hAnsi="宋体" w:eastAsia="宋体"/>
          <w:b w:val="0"/>
          <w:bCs/>
          <w:sz w:val="24"/>
          <w:szCs w:val="18"/>
        </w:rPr>
        <w:t>将按照约定向</w:t>
      </w:r>
      <w:r>
        <w:rPr>
          <w:rFonts w:hint="eastAsia" w:ascii="宋体" w:hAnsi="宋体" w:eastAsia="宋体"/>
          <w:b w:val="0"/>
          <w:bCs/>
          <w:sz w:val="24"/>
          <w:szCs w:val="18"/>
          <w:lang w:val="en-US" w:eastAsia="zh-CN"/>
        </w:rPr>
        <w:t>中标人</w:t>
      </w:r>
      <w:r>
        <w:rPr>
          <w:rFonts w:hint="eastAsia" w:ascii="宋体" w:hAnsi="宋体" w:eastAsia="宋体"/>
          <w:b w:val="0"/>
          <w:bCs/>
          <w:sz w:val="24"/>
          <w:szCs w:val="18"/>
        </w:rPr>
        <w:t>支付能源托管费用，并由</w:t>
      </w:r>
      <w:r>
        <w:rPr>
          <w:rFonts w:hint="eastAsia" w:ascii="宋体" w:hAnsi="宋体" w:eastAsia="宋体"/>
          <w:b w:val="0"/>
          <w:bCs/>
          <w:sz w:val="24"/>
          <w:szCs w:val="18"/>
          <w:lang w:val="en-US" w:eastAsia="zh-CN"/>
        </w:rPr>
        <w:t>中标人</w:t>
      </w:r>
      <w:r>
        <w:rPr>
          <w:rFonts w:hint="eastAsia" w:ascii="宋体" w:hAnsi="宋体" w:eastAsia="宋体"/>
          <w:b w:val="0"/>
          <w:bCs/>
          <w:sz w:val="24"/>
          <w:szCs w:val="18"/>
        </w:rPr>
        <w:t>负责实施能源系统建设及相关设备运维，同时缴纳采购</w:t>
      </w:r>
      <w:r>
        <w:rPr>
          <w:rFonts w:hint="eastAsia" w:ascii="宋体" w:hAnsi="宋体" w:eastAsia="宋体"/>
          <w:b w:val="0"/>
          <w:bCs/>
          <w:sz w:val="24"/>
          <w:szCs w:val="18"/>
          <w:lang w:val="en-US" w:eastAsia="zh-CN"/>
        </w:rPr>
        <w:t>人</w:t>
      </w:r>
      <w:r>
        <w:rPr>
          <w:rFonts w:hint="eastAsia" w:ascii="宋体" w:hAnsi="宋体" w:eastAsia="宋体"/>
          <w:b w:val="0"/>
          <w:bCs/>
          <w:sz w:val="24"/>
          <w:szCs w:val="18"/>
        </w:rPr>
        <w:t>在能源托管期内正常运营所产生的电费、水费等能源费用支出。</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中心院区位于合肥市益民街15号，院区内保健大楼建于2003年，2007年投入使用，总建筑面积约2.3万平米，地上19层，地下2层；爱婴大楼建于1994年，1999年投入使用，总建筑面积约1.1万平米，地下一层，地上11层。其中手术室约2000平米（手术室采用独立空调系统），其它区域约9000平米。</w:t>
      </w:r>
    </w:p>
    <w:p>
      <w:pPr>
        <w:spacing w:line="360" w:lineRule="auto"/>
        <w:ind w:firstLine="437"/>
        <w:rPr>
          <w:rFonts w:ascii="宋体" w:hAnsi="宋体" w:eastAsia="宋体"/>
          <w:b w:val="0"/>
          <w:bCs/>
          <w:sz w:val="24"/>
          <w:szCs w:val="18"/>
        </w:rPr>
      </w:pPr>
      <w:r>
        <w:rPr>
          <w:rFonts w:hint="eastAsia" w:ascii="宋体" w:hAnsi="宋体" w:eastAsia="宋体"/>
          <w:b w:val="0"/>
          <w:bCs/>
          <w:sz w:val="24"/>
          <w:szCs w:val="18"/>
        </w:rPr>
        <w:t>涉及的能源为水、电、柴油。院区内两栋楼主要用能设备是空调、照明灯具、插座、电梯、空气源热水机组和电开水炉及办公等动力设备。</w:t>
      </w:r>
    </w:p>
    <w:p>
      <w:pPr>
        <w:spacing w:line="360" w:lineRule="auto"/>
        <w:ind w:firstLine="437"/>
        <w:rPr>
          <w:rFonts w:ascii="宋体" w:hAnsi="宋体" w:eastAsia="宋体"/>
          <w:b/>
          <w:sz w:val="24"/>
          <w:szCs w:val="18"/>
        </w:rPr>
      </w:pPr>
      <w:r>
        <w:rPr>
          <w:rFonts w:hint="eastAsia" w:ascii="宋体" w:hAnsi="宋体" w:eastAsia="宋体"/>
          <w:b/>
          <w:sz w:val="24"/>
          <w:szCs w:val="18"/>
        </w:rPr>
        <w:t>三、服务需求</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（一）</w:t>
      </w:r>
      <w:r>
        <w:rPr>
          <w:rFonts w:hint="eastAsia" w:ascii="宋体" w:hAnsi="宋体" w:eastAsia="宋体"/>
          <w:b w:val="0"/>
          <w:bCs/>
          <w:sz w:val="24"/>
          <w:szCs w:val="18"/>
        </w:rPr>
        <w:t>节能改造和综合能源托管服务</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对</w:t>
      </w:r>
      <w:r>
        <w:rPr>
          <w:rFonts w:hint="eastAsia" w:ascii="宋体" w:hAnsi="宋体" w:eastAsia="宋体"/>
          <w:b w:val="0"/>
          <w:bCs/>
          <w:sz w:val="24"/>
          <w:szCs w:val="18"/>
          <w:lang w:val="en-US" w:eastAsia="zh-CN"/>
        </w:rPr>
        <w:t>合肥市</w:t>
      </w:r>
      <w:r>
        <w:rPr>
          <w:rFonts w:hint="eastAsia" w:ascii="宋体" w:hAnsi="宋体" w:eastAsia="宋体"/>
          <w:b w:val="0"/>
          <w:bCs/>
          <w:sz w:val="24"/>
          <w:szCs w:val="18"/>
        </w:rPr>
        <w:t>妇幼保健院中心院区内保健中心大楼和爱婴大楼提供高低压配电设备巡检及预试、中央空调运营管理服务并进行节能改造和综合能源托管服务。改造内容包含但不限于：</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保健中心大楼：中央空调主机设备全部更换、机房输配系统建设、中央空调机房管理、机房内电缆敷设及施工、空调机房内管网施工、主机及输配系统基础、吊装运输；中央空调智能化自动控制系统建设、太阳能热水管敷设及并入原生活热水系统。</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爱婴大楼：采暖系统改造及施工、冷却塔更换、太阳能热水管敷设及并入原生活热水系统、中央空调系统电缆敷设及施工、管道改造及施工、运输及吊装；中央空调智能化自动控制系统建设；</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全院：能耗监控平台整体建设。建设综合能源管控平台软件，提供对平台的日常维护管理服务，实现对能源消耗数字化管控，平台需包含：能耗实时监控系统、能效分析系统、设备管理系统、智能控制系统、可视化展示系统等系统功能，同时具备移动巡检功能，完成日常巡检任务，通过平台生成月度、年度耗能报告，提交院方备案。</w:t>
      </w:r>
    </w:p>
    <w:p>
      <w:pPr>
        <w:spacing w:line="360" w:lineRule="auto"/>
        <w:ind w:firstLine="437"/>
        <w:rPr>
          <w:rFonts w:hint="default" w:ascii="宋体" w:hAnsi="宋体" w:eastAsia="宋体"/>
          <w:b w:val="0"/>
          <w:bCs/>
          <w:sz w:val="24"/>
          <w:szCs w:val="18"/>
          <w:lang w:val="en-US" w:eastAsia="zh-CN"/>
        </w:rPr>
      </w:pPr>
      <w:r>
        <w:rPr>
          <w:rFonts w:hint="eastAsia" w:ascii="宋体" w:hAnsi="宋体" w:eastAsia="宋体"/>
          <w:b w:val="0"/>
          <w:bCs/>
          <w:sz w:val="24"/>
          <w:szCs w:val="18"/>
          <w:lang w:val="en-US" w:eastAsia="zh-CN"/>
        </w:rPr>
        <w:t>（二）日常维保服务</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1、</w:t>
      </w:r>
      <w:r>
        <w:rPr>
          <w:rFonts w:hint="eastAsia" w:ascii="宋体" w:hAnsi="宋体" w:eastAsia="宋体"/>
          <w:b w:val="0"/>
          <w:bCs/>
          <w:sz w:val="24"/>
          <w:szCs w:val="18"/>
        </w:rPr>
        <w:t>中央空调机房内设备的日常值班操作、维护（修）保养及安保；</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2、</w:t>
      </w:r>
      <w:r>
        <w:rPr>
          <w:rFonts w:hint="eastAsia" w:ascii="宋体" w:hAnsi="宋体" w:eastAsia="宋体"/>
          <w:b w:val="0"/>
          <w:bCs/>
          <w:sz w:val="24"/>
          <w:szCs w:val="18"/>
        </w:rPr>
        <w:t>空调系统冷却水、冷冻水的水质处理、保养维护；</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3、</w:t>
      </w:r>
      <w:r>
        <w:rPr>
          <w:rFonts w:hint="eastAsia" w:ascii="宋体" w:hAnsi="宋体" w:eastAsia="宋体"/>
          <w:b w:val="0"/>
          <w:bCs/>
          <w:sz w:val="24"/>
          <w:szCs w:val="18"/>
        </w:rPr>
        <w:t>冷却塔系统的操作、维护（修）保养；</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4、</w:t>
      </w:r>
      <w:r>
        <w:rPr>
          <w:rFonts w:hint="eastAsia" w:ascii="宋体" w:hAnsi="宋体" w:eastAsia="宋体"/>
          <w:b w:val="0"/>
          <w:bCs/>
          <w:sz w:val="24"/>
          <w:szCs w:val="18"/>
        </w:rPr>
        <w:t>采购结算中心院区的水、电力等能源；</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5、</w:t>
      </w:r>
      <w:r>
        <w:rPr>
          <w:rFonts w:hint="eastAsia" w:ascii="宋体" w:hAnsi="宋体" w:eastAsia="宋体"/>
          <w:b w:val="0"/>
          <w:bCs/>
          <w:sz w:val="24"/>
          <w:szCs w:val="18"/>
        </w:rPr>
        <w:t>合同期机房内空调设备维护保养；</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6、</w:t>
      </w:r>
      <w:r>
        <w:rPr>
          <w:rFonts w:hint="eastAsia" w:ascii="宋体" w:hAnsi="宋体" w:eastAsia="宋体"/>
          <w:b w:val="0"/>
          <w:bCs/>
          <w:sz w:val="24"/>
          <w:szCs w:val="18"/>
        </w:rPr>
        <w:t>满足院方日常运营要求，夏天室内温度不高于26℃；冬天室内温度不低于20℃；</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7、</w:t>
      </w:r>
      <w:r>
        <w:rPr>
          <w:rFonts w:hint="eastAsia" w:ascii="宋体" w:hAnsi="宋体" w:eastAsia="宋体"/>
          <w:b w:val="0"/>
          <w:bCs/>
          <w:sz w:val="24"/>
          <w:szCs w:val="18"/>
        </w:rPr>
        <w:t>现场运维人员不少于3人（食宿自理，</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提供值班室，工作期间运维人员须在值班室值守）；</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8、</w:t>
      </w:r>
      <w:r>
        <w:rPr>
          <w:rFonts w:hint="eastAsia" w:ascii="宋体" w:hAnsi="宋体" w:eastAsia="宋体"/>
          <w:b w:val="0"/>
          <w:bCs/>
          <w:sz w:val="24"/>
          <w:szCs w:val="18"/>
        </w:rPr>
        <w:t>空调系统末端维护，每年定期进行末端清洗。</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9、</w:t>
      </w:r>
      <w:r>
        <w:rPr>
          <w:rFonts w:hint="eastAsia" w:ascii="宋体" w:hAnsi="宋体" w:eastAsia="宋体"/>
          <w:b w:val="0"/>
          <w:bCs/>
          <w:sz w:val="24"/>
          <w:szCs w:val="18"/>
        </w:rPr>
        <w:t>操作及维护综合能源管控平台，实现能源消耗数字化，形成能源消耗量日报、月报及年报上报</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备案（平台软件部分包含能源管理系统、设备管理系统、中央空调）。</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10、</w:t>
      </w:r>
      <w:r>
        <w:rPr>
          <w:rFonts w:hint="eastAsia" w:ascii="宋体" w:hAnsi="宋体" w:eastAsia="宋体"/>
          <w:b w:val="0"/>
          <w:bCs/>
          <w:sz w:val="24"/>
          <w:szCs w:val="18"/>
        </w:rPr>
        <w:t>高低压配电房的日常运检、预试及维护。</w:t>
      </w:r>
    </w:p>
    <w:p>
      <w:pPr>
        <w:spacing w:line="360" w:lineRule="auto"/>
        <w:ind w:firstLine="437"/>
        <w:rPr>
          <w:rFonts w:hint="eastAsia" w:ascii="宋体" w:hAnsi="宋体" w:eastAsia="宋体"/>
          <w:b/>
          <w:sz w:val="24"/>
          <w:szCs w:val="18"/>
        </w:rPr>
      </w:pPr>
      <w:r>
        <w:rPr>
          <w:rFonts w:hint="eastAsia" w:ascii="宋体" w:hAnsi="宋体" w:eastAsia="宋体"/>
          <w:b/>
          <w:sz w:val="24"/>
          <w:szCs w:val="18"/>
          <w:lang w:val="en-US" w:eastAsia="zh-CN"/>
        </w:rPr>
        <w:t>四、</w:t>
      </w:r>
      <w:r>
        <w:rPr>
          <w:rFonts w:hint="eastAsia" w:ascii="宋体" w:hAnsi="宋体" w:eastAsia="宋体"/>
          <w:b/>
          <w:sz w:val="24"/>
          <w:szCs w:val="18"/>
        </w:rPr>
        <w:t>服务标准</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1、空调冷热水供应要求：</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（1）空调供冷：夏天室内温度不高于26℃；</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供冷时间为：5月15日至10月15日，或开机时间满足以下条件：</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室外最高气温连续5天</w:t>
      </w:r>
      <w:r>
        <w:rPr>
          <w:rFonts w:hint="eastAsia" w:ascii="宋体" w:hAnsi="宋体" w:eastAsia="宋体"/>
          <w:b w:val="0"/>
          <w:bCs/>
          <w:sz w:val="24"/>
          <w:szCs w:val="18"/>
          <w:lang w:eastAsia="zh-CN"/>
        </w:rPr>
        <w:t>＞</w:t>
      </w:r>
      <w:r>
        <w:rPr>
          <w:rFonts w:hint="eastAsia" w:ascii="宋体" w:hAnsi="宋体" w:eastAsia="宋体"/>
          <w:b w:val="0"/>
          <w:bCs/>
          <w:sz w:val="24"/>
          <w:szCs w:val="18"/>
        </w:rPr>
        <w:t>28℃或2天</w:t>
      </w:r>
      <w:r>
        <w:rPr>
          <w:rFonts w:hint="eastAsia" w:ascii="宋体" w:hAnsi="宋体" w:eastAsia="宋体"/>
          <w:b w:val="0"/>
          <w:bCs/>
          <w:sz w:val="24"/>
          <w:szCs w:val="18"/>
          <w:lang w:eastAsia="zh-CN"/>
        </w:rPr>
        <w:t>＞</w:t>
      </w:r>
      <w:r>
        <w:rPr>
          <w:rFonts w:hint="eastAsia" w:ascii="宋体" w:hAnsi="宋体" w:eastAsia="宋体"/>
          <w:b w:val="0"/>
          <w:bCs/>
          <w:sz w:val="24"/>
          <w:szCs w:val="18"/>
        </w:rPr>
        <w:t>30℃或当天</w:t>
      </w:r>
      <w:r>
        <w:rPr>
          <w:rFonts w:hint="eastAsia" w:ascii="宋体" w:hAnsi="宋体" w:eastAsia="宋体"/>
          <w:b w:val="0"/>
          <w:bCs/>
          <w:sz w:val="24"/>
          <w:szCs w:val="18"/>
          <w:lang w:eastAsia="zh-CN"/>
        </w:rPr>
        <w:t>＞</w:t>
      </w:r>
      <w:r>
        <w:rPr>
          <w:rFonts w:hint="eastAsia" w:ascii="宋体" w:hAnsi="宋体" w:eastAsia="宋体"/>
          <w:b w:val="0"/>
          <w:bCs/>
          <w:sz w:val="24"/>
          <w:szCs w:val="18"/>
        </w:rPr>
        <w:t>31℃开始供冷；</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室外最高气温连续5天</w:t>
      </w:r>
      <w:r>
        <w:rPr>
          <w:rFonts w:hint="eastAsia" w:ascii="宋体" w:hAnsi="宋体" w:eastAsia="宋体"/>
          <w:b w:val="0"/>
          <w:bCs/>
          <w:sz w:val="24"/>
          <w:szCs w:val="18"/>
          <w:lang w:eastAsia="zh-CN"/>
        </w:rPr>
        <w:t>＜</w:t>
      </w:r>
      <w:r>
        <w:rPr>
          <w:rFonts w:hint="eastAsia" w:ascii="宋体" w:hAnsi="宋体" w:eastAsia="宋体"/>
          <w:b w:val="0"/>
          <w:bCs/>
          <w:sz w:val="24"/>
          <w:szCs w:val="18"/>
        </w:rPr>
        <w:t>25℃或2天</w:t>
      </w:r>
      <w:r>
        <w:rPr>
          <w:rFonts w:hint="eastAsia" w:ascii="宋体" w:hAnsi="宋体" w:eastAsia="宋体"/>
          <w:b w:val="0"/>
          <w:bCs/>
          <w:sz w:val="24"/>
          <w:szCs w:val="18"/>
          <w:lang w:eastAsia="zh-CN"/>
        </w:rPr>
        <w:t>＜</w:t>
      </w:r>
      <w:r>
        <w:rPr>
          <w:rFonts w:hint="eastAsia" w:ascii="宋体" w:hAnsi="宋体" w:eastAsia="宋体"/>
          <w:b w:val="0"/>
          <w:bCs/>
          <w:sz w:val="24"/>
          <w:szCs w:val="18"/>
        </w:rPr>
        <w:t>24℃或当天</w:t>
      </w:r>
      <w:r>
        <w:rPr>
          <w:rFonts w:hint="eastAsia" w:ascii="宋体" w:hAnsi="宋体" w:eastAsia="宋体"/>
          <w:b w:val="0"/>
          <w:bCs/>
          <w:sz w:val="24"/>
          <w:szCs w:val="18"/>
          <w:lang w:eastAsia="zh-CN"/>
        </w:rPr>
        <w:t>＜</w:t>
      </w:r>
      <w:r>
        <w:rPr>
          <w:rFonts w:hint="eastAsia" w:ascii="宋体" w:hAnsi="宋体" w:eastAsia="宋体"/>
          <w:b w:val="0"/>
          <w:bCs/>
          <w:sz w:val="24"/>
          <w:szCs w:val="18"/>
        </w:rPr>
        <w:t>22℃停止供冷；</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（2）空调供热：冬天室内温度不低于20℃；</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供热时间为11月15日至次年3月15日，或开机时间满足以下条件：</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室外最高气温连续5天</w:t>
      </w:r>
      <w:r>
        <w:rPr>
          <w:rFonts w:hint="eastAsia" w:ascii="宋体" w:hAnsi="宋体" w:eastAsia="宋体"/>
          <w:b w:val="0"/>
          <w:bCs/>
          <w:sz w:val="24"/>
          <w:szCs w:val="18"/>
          <w:lang w:eastAsia="zh-CN"/>
        </w:rPr>
        <w:t>＜</w:t>
      </w:r>
      <w:r>
        <w:rPr>
          <w:rFonts w:hint="eastAsia" w:ascii="宋体" w:hAnsi="宋体" w:eastAsia="宋体"/>
          <w:b w:val="0"/>
          <w:bCs/>
          <w:sz w:val="24"/>
          <w:szCs w:val="18"/>
        </w:rPr>
        <w:t>15℃或2天</w:t>
      </w:r>
      <w:r>
        <w:rPr>
          <w:rFonts w:hint="eastAsia" w:ascii="宋体" w:hAnsi="宋体" w:eastAsia="宋体"/>
          <w:b w:val="0"/>
          <w:bCs/>
          <w:sz w:val="24"/>
          <w:szCs w:val="18"/>
          <w:lang w:eastAsia="zh-CN"/>
        </w:rPr>
        <w:t>＜</w:t>
      </w:r>
      <w:r>
        <w:rPr>
          <w:rFonts w:hint="eastAsia" w:ascii="宋体" w:hAnsi="宋体" w:eastAsia="宋体"/>
          <w:b w:val="0"/>
          <w:bCs/>
          <w:sz w:val="24"/>
          <w:szCs w:val="18"/>
        </w:rPr>
        <w:t>13℃或当天</w:t>
      </w:r>
      <w:r>
        <w:rPr>
          <w:rFonts w:hint="eastAsia" w:ascii="宋体" w:hAnsi="宋体" w:eastAsia="宋体"/>
          <w:b w:val="0"/>
          <w:bCs/>
          <w:sz w:val="24"/>
          <w:szCs w:val="18"/>
          <w:lang w:eastAsia="zh-CN"/>
        </w:rPr>
        <w:t>＜</w:t>
      </w:r>
      <w:r>
        <w:rPr>
          <w:rFonts w:hint="eastAsia" w:ascii="宋体" w:hAnsi="宋体" w:eastAsia="宋体"/>
          <w:b w:val="0"/>
          <w:bCs/>
          <w:sz w:val="24"/>
          <w:szCs w:val="18"/>
        </w:rPr>
        <w:t>10℃开始供热；</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室外最高气温连续5天</w:t>
      </w:r>
      <w:r>
        <w:rPr>
          <w:rFonts w:hint="eastAsia" w:ascii="宋体" w:hAnsi="宋体" w:eastAsia="宋体"/>
          <w:b w:val="0"/>
          <w:bCs/>
          <w:sz w:val="24"/>
          <w:szCs w:val="18"/>
          <w:lang w:eastAsia="zh-CN"/>
        </w:rPr>
        <w:t>＞</w:t>
      </w:r>
      <w:r>
        <w:rPr>
          <w:rFonts w:hint="eastAsia" w:ascii="宋体" w:hAnsi="宋体" w:eastAsia="宋体"/>
          <w:b w:val="0"/>
          <w:bCs/>
          <w:sz w:val="24"/>
          <w:szCs w:val="18"/>
        </w:rPr>
        <w:t>15℃或2天</w:t>
      </w:r>
      <w:r>
        <w:rPr>
          <w:rFonts w:hint="eastAsia" w:ascii="宋体" w:hAnsi="宋体" w:eastAsia="宋体"/>
          <w:b w:val="0"/>
          <w:bCs/>
          <w:sz w:val="24"/>
          <w:szCs w:val="18"/>
          <w:lang w:eastAsia="zh-CN"/>
        </w:rPr>
        <w:t>＞</w:t>
      </w:r>
      <w:r>
        <w:rPr>
          <w:rFonts w:hint="eastAsia" w:ascii="宋体" w:hAnsi="宋体" w:eastAsia="宋体"/>
          <w:b w:val="0"/>
          <w:bCs/>
          <w:sz w:val="24"/>
          <w:szCs w:val="18"/>
        </w:rPr>
        <w:t>17℃或当天</w:t>
      </w:r>
      <w:r>
        <w:rPr>
          <w:rFonts w:hint="eastAsia" w:ascii="宋体" w:hAnsi="宋体" w:eastAsia="宋体"/>
          <w:b w:val="0"/>
          <w:bCs/>
          <w:sz w:val="24"/>
          <w:szCs w:val="18"/>
          <w:lang w:eastAsia="zh-CN"/>
        </w:rPr>
        <w:t>＞</w:t>
      </w:r>
      <w:r>
        <w:rPr>
          <w:rFonts w:hint="eastAsia" w:ascii="宋体" w:hAnsi="宋体" w:eastAsia="宋体"/>
          <w:b w:val="0"/>
          <w:bCs/>
          <w:sz w:val="24"/>
          <w:szCs w:val="18"/>
        </w:rPr>
        <w:t>20℃停止供热；</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注：</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1</w:t>
      </w:r>
      <w:r>
        <w:rPr>
          <w:rFonts w:hint="eastAsia" w:ascii="宋体" w:hAnsi="宋体" w:eastAsia="宋体"/>
          <w:b w:val="0"/>
          <w:bCs/>
          <w:sz w:val="24"/>
          <w:szCs w:val="18"/>
          <w:lang w:eastAsia="zh-CN"/>
        </w:rPr>
        <w:t>）</w:t>
      </w:r>
      <w:r>
        <w:rPr>
          <w:rFonts w:hint="eastAsia" w:ascii="宋体" w:hAnsi="宋体" w:eastAsia="宋体"/>
          <w:b w:val="0"/>
          <w:bCs/>
          <w:sz w:val="24"/>
          <w:szCs w:val="18"/>
        </w:rPr>
        <w:t>供冷、供暖条件需要满足医院临床生产需求，遵循医院管理，</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有最终开关机的决定权；</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2</w:t>
      </w:r>
      <w:r>
        <w:rPr>
          <w:rFonts w:hint="eastAsia" w:ascii="宋体" w:hAnsi="宋体" w:eastAsia="宋体"/>
          <w:b w:val="0"/>
          <w:bCs/>
          <w:sz w:val="24"/>
          <w:szCs w:val="18"/>
          <w:lang w:eastAsia="zh-CN"/>
        </w:rPr>
        <w:t>）</w:t>
      </w:r>
      <w:r>
        <w:rPr>
          <w:rFonts w:hint="eastAsia" w:ascii="宋体" w:hAnsi="宋体" w:eastAsia="宋体"/>
          <w:b w:val="0"/>
          <w:bCs/>
          <w:sz w:val="24"/>
          <w:szCs w:val="18"/>
        </w:rPr>
        <w:t>卫生热水：冬天 50±5℃，夏天 45±5℃。</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3</w:t>
      </w:r>
      <w:r>
        <w:rPr>
          <w:rFonts w:hint="eastAsia" w:ascii="宋体" w:hAnsi="宋体" w:eastAsia="宋体"/>
          <w:b w:val="0"/>
          <w:bCs/>
          <w:sz w:val="24"/>
          <w:szCs w:val="18"/>
          <w:lang w:eastAsia="zh-CN"/>
        </w:rPr>
        <w:t>）</w:t>
      </w:r>
      <w:r>
        <w:rPr>
          <w:rFonts w:hint="eastAsia" w:ascii="宋体" w:hAnsi="宋体" w:eastAsia="宋体"/>
          <w:b w:val="0"/>
          <w:bCs/>
          <w:sz w:val="24"/>
          <w:szCs w:val="18"/>
        </w:rPr>
        <w:t>改造后的空调系统须满足院方日常使用要求，若不能达到以上温度要求，须无条件增加相关设备。</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2、实施范围：</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（1）运行管理</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①合同期内，</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的</w:t>
      </w:r>
      <w:r>
        <w:rPr>
          <w:rFonts w:hint="eastAsia" w:ascii="宋体" w:hAnsi="宋体" w:eastAsia="宋体"/>
          <w:b w:val="0"/>
          <w:bCs/>
          <w:sz w:val="24"/>
          <w:szCs w:val="18"/>
          <w:lang w:val="en-US" w:eastAsia="zh-CN"/>
        </w:rPr>
        <w:t>采购</w:t>
      </w:r>
      <w:r>
        <w:rPr>
          <w:rFonts w:hint="eastAsia" w:ascii="宋体" w:hAnsi="宋体" w:eastAsia="宋体"/>
          <w:b w:val="0"/>
          <w:bCs/>
          <w:sz w:val="24"/>
          <w:szCs w:val="18"/>
        </w:rPr>
        <w:t>范围内中央空调系统的运行、维护、保养由</w:t>
      </w:r>
      <w:r>
        <w:rPr>
          <w:rFonts w:hint="eastAsia" w:ascii="宋体" w:hAnsi="宋体" w:eastAsia="宋体"/>
          <w:b w:val="0"/>
          <w:bCs/>
          <w:sz w:val="24"/>
          <w:szCs w:val="18"/>
          <w:lang w:val="en-US" w:eastAsia="zh-CN"/>
        </w:rPr>
        <w:t>中标人</w:t>
      </w:r>
      <w:r>
        <w:rPr>
          <w:rFonts w:hint="eastAsia" w:ascii="宋体" w:hAnsi="宋体" w:eastAsia="宋体"/>
          <w:b w:val="0"/>
          <w:bCs/>
          <w:sz w:val="24"/>
          <w:szCs w:val="18"/>
        </w:rPr>
        <w:t>负责，服从</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监管。</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②</w:t>
      </w:r>
      <w:r>
        <w:rPr>
          <w:rFonts w:hint="eastAsia" w:ascii="宋体" w:hAnsi="宋体" w:eastAsia="宋体"/>
          <w:b w:val="0"/>
          <w:bCs/>
          <w:sz w:val="24"/>
          <w:szCs w:val="18"/>
          <w:lang w:val="en-US" w:eastAsia="zh-CN"/>
        </w:rPr>
        <w:t>中标人</w:t>
      </w:r>
      <w:r>
        <w:rPr>
          <w:rFonts w:hint="eastAsia" w:ascii="宋体" w:hAnsi="宋体" w:eastAsia="宋体"/>
          <w:b w:val="0"/>
          <w:bCs/>
          <w:sz w:val="24"/>
          <w:szCs w:val="18"/>
        </w:rPr>
        <w:t>应制定完备的中央空调的运行管理章程，配备足够的技术人员，现场运营人员配备不少于3人，按照医院运行的要求，严格执行招标单位要求的工作时间。</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（2）维修保障</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合同期内，为确保中央空调不间断供应，设备寿命期内持续保持机组的能源效率和负荷能力，遇到紧急情况时，</w:t>
      </w:r>
      <w:r>
        <w:rPr>
          <w:rFonts w:hint="eastAsia" w:ascii="宋体" w:hAnsi="宋体" w:eastAsia="宋体"/>
          <w:b w:val="0"/>
          <w:bCs/>
          <w:sz w:val="24"/>
          <w:szCs w:val="18"/>
          <w:lang w:val="en-US" w:eastAsia="zh-CN"/>
        </w:rPr>
        <w:t>中标人</w:t>
      </w:r>
      <w:r>
        <w:rPr>
          <w:rFonts w:hint="eastAsia" w:ascii="宋体" w:hAnsi="宋体" w:eastAsia="宋体"/>
          <w:b w:val="0"/>
          <w:bCs/>
          <w:sz w:val="24"/>
          <w:szCs w:val="18"/>
        </w:rPr>
        <w:t>技术人员应4小时内解决问题，如无法解决需提前与</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协商确定检修时间。中央空调系统保养项目包括制冷主机、水泵、冷却塔、机房管路系统、风系统、水质管理、风机盘管（不含手术室、ICU等净化区域）。</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3、服务质量</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中标人</w:t>
      </w:r>
      <w:r>
        <w:rPr>
          <w:rFonts w:hint="eastAsia" w:ascii="宋体" w:hAnsi="宋体" w:eastAsia="宋体"/>
          <w:b w:val="0"/>
          <w:bCs/>
          <w:sz w:val="24"/>
          <w:szCs w:val="18"/>
        </w:rPr>
        <w:t>应建立严格的质量保证体系，制定项目服务质量控制方案和实施措施，并督促落实各环节质量控制内容和目标，确保安装和调试相关设备、设施应符合国家、行业有关施工管理法律法规和与项目相对应的技术标准规范要求，以及</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合理的特有的施工、管理、 质量要求。</w:t>
      </w:r>
      <w:r>
        <w:rPr>
          <w:rFonts w:hint="eastAsia" w:ascii="宋体" w:hAnsi="宋体" w:eastAsia="宋体"/>
          <w:b w:val="0"/>
          <w:bCs/>
          <w:sz w:val="24"/>
          <w:szCs w:val="18"/>
          <w:lang w:val="en-US" w:eastAsia="zh-CN"/>
        </w:rPr>
        <w:t>中标人</w:t>
      </w:r>
      <w:r>
        <w:rPr>
          <w:rFonts w:hint="eastAsia" w:ascii="宋体" w:hAnsi="宋体" w:eastAsia="宋体"/>
          <w:b w:val="0"/>
          <w:bCs/>
          <w:sz w:val="24"/>
          <w:szCs w:val="18"/>
        </w:rPr>
        <w:t>应根据整个项目周期的工作计划，对阶段性工作成果进行审查和测试，并向</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提交阶段性工作成果。通过保证各阶段性成果的质量，最终保证整个项目的质量。</w:t>
      </w:r>
    </w:p>
    <w:p>
      <w:pPr>
        <w:spacing w:line="360" w:lineRule="auto"/>
        <w:ind w:firstLine="437"/>
        <w:rPr>
          <w:rFonts w:hint="eastAsia" w:ascii="宋体" w:hAnsi="宋体" w:eastAsia="宋体"/>
          <w:b w:val="0"/>
          <w:bCs/>
          <w:sz w:val="24"/>
          <w:szCs w:val="18"/>
        </w:rPr>
      </w:pPr>
      <w:r>
        <w:rPr>
          <w:rFonts w:hint="eastAsia" w:ascii="宋体" w:hAnsi="宋体" w:eastAsia="宋体"/>
          <w:b/>
          <w:bCs w:val="0"/>
          <w:sz w:val="24"/>
          <w:szCs w:val="18"/>
          <w:lang w:val="en-US" w:eastAsia="zh-CN"/>
        </w:rPr>
        <w:t>五、</w:t>
      </w:r>
      <w:r>
        <w:rPr>
          <w:rFonts w:hint="eastAsia" w:ascii="宋体" w:hAnsi="宋体" w:eastAsia="宋体"/>
          <w:b/>
          <w:bCs w:val="0"/>
          <w:sz w:val="24"/>
          <w:szCs w:val="18"/>
        </w:rPr>
        <w:t>技术要求</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1、</w:t>
      </w:r>
      <w:r>
        <w:rPr>
          <w:rFonts w:hint="eastAsia" w:ascii="宋体" w:hAnsi="宋体" w:eastAsia="宋体"/>
          <w:b w:val="0"/>
          <w:bCs/>
          <w:sz w:val="24"/>
          <w:szCs w:val="18"/>
        </w:rPr>
        <w:t>中央空调系统整体改造内容：</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335"/>
        <w:gridCol w:w="3837"/>
        <w:gridCol w:w="678"/>
        <w:gridCol w:w="718"/>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5"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83"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tc>
        <w:tc>
          <w:tcPr>
            <w:tcW w:w="2251"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技术参数</w:t>
            </w:r>
            <w:r>
              <w:rPr>
                <w:rFonts w:hint="eastAsia" w:asciiTheme="minorEastAsia" w:hAnsiTheme="minorEastAsia" w:eastAsiaTheme="minorEastAsia" w:cstheme="minorEastAsia"/>
                <w:sz w:val="24"/>
                <w:szCs w:val="24"/>
                <w:lang w:val="en-US" w:eastAsia="zh-CN"/>
              </w:rPr>
              <w:t>及要求</w:t>
            </w:r>
          </w:p>
        </w:tc>
        <w:tc>
          <w:tcPr>
            <w:tcW w:w="39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421"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台数</w:t>
            </w:r>
          </w:p>
        </w:tc>
        <w:tc>
          <w:tcPr>
            <w:tcW w:w="749"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83"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磁悬浮离心式冷水机组</w:t>
            </w:r>
          </w:p>
        </w:tc>
        <w:tc>
          <w:tcPr>
            <w:tcW w:w="2251" w:type="pct"/>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制冷量：1010kW/287RT；</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额定功率：164.2kW；</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冷冻水进出水温度：7/12℃；</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冷冻水流量：174m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/h；</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蒸发器水压降：81kPa；</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冷却水进出水温度：30/35℃；</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冷却水流量：217m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/h；</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冷凝器水压降：92kPa；</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R134a环保冷媒。</w:t>
            </w:r>
          </w:p>
        </w:tc>
        <w:tc>
          <w:tcPr>
            <w:tcW w:w="39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421"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49"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麦克维尔、开利、约克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83"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高效风冷模块热泵机组</w:t>
            </w:r>
          </w:p>
        </w:tc>
        <w:tc>
          <w:tcPr>
            <w:tcW w:w="2251" w:type="pct"/>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制冷量：130kW；输入功率：42.2kW；</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制热量：135kW；输入功率：40.3kW；</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电源：380V/50Hz；</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R410a环保冷媒</w:t>
            </w:r>
          </w:p>
        </w:tc>
        <w:tc>
          <w:tcPr>
            <w:tcW w:w="39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421"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749"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麦克维尔、开利、约克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83"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冷却塔</w:t>
            </w:r>
          </w:p>
        </w:tc>
        <w:tc>
          <w:tcPr>
            <w:tcW w:w="2251" w:type="pct"/>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流量：300m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/h；</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冷却水进出水温度：32/37℃；</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干球温度：35℃；</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湿球温度：28.1℃；</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功率：高速11kW；低速5.5kW；</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电源：380V/50Hz</w:t>
            </w:r>
          </w:p>
        </w:tc>
        <w:tc>
          <w:tcPr>
            <w:tcW w:w="39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w:t>
            </w:r>
          </w:p>
        </w:tc>
        <w:tc>
          <w:tcPr>
            <w:tcW w:w="421"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49"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良机、元亨、览讯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783"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机房群控系统</w:t>
            </w:r>
          </w:p>
        </w:tc>
        <w:tc>
          <w:tcPr>
            <w:tcW w:w="2251" w:type="pct"/>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每栋楼中央空调系统冷水总供水管及回水管上装有温度传感器，冷水供水管上设有流量传感器。通过上述的冷水流量及供回水温差，微机计算出系统的冷量，该上述冷量与所设计的软件的设定值比较，以确定最优的主机开启台数及启动与其配套的泵和塔。</w:t>
            </w:r>
          </w:p>
        </w:tc>
        <w:tc>
          <w:tcPr>
            <w:tcW w:w="39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421"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49"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83"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生活热水系统优化</w:t>
            </w:r>
          </w:p>
        </w:tc>
        <w:tc>
          <w:tcPr>
            <w:tcW w:w="2251" w:type="pct"/>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利用现有楼顶屋面敷设太阳能热水管，产生热水并入现有生活热水系统。</w:t>
            </w:r>
          </w:p>
        </w:tc>
        <w:tc>
          <w:tcPr>
            <w:tcW w:w="39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421"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49"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6</w:t>
            </w:r>
          </w:p>
        </w:tc>
        <w:tc>
          <w:tcPr>
            <w:tcW w:w="783"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能耗综合监控平台</w:t>
            </w:r>
          </w:p>
        </w:tc>
        <w:tc>
          <w:tcPr>
            <w:tcW w:w="2251" w:type="pct"/>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综合能源管控平台软件，提供对平台的日常维护管理服务,实现对能源消耗数字化管控，平台需包含：能耗实时监控系统、能效分析系统、设备管理系统、智能控制系统、可视化展示系统等系统功能，同时具备移动巡检功能，完成日常巡检任务，通过平台生成月度、年度耗能报告，提交</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备案。</w:t>
            </w:r>
          </w:p>
        </w:tc>
        <w:tc>
          <w:tcPr>
            <w:tcW w:w="39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421"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49"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备注：</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1</w:t>
      </w:r>
      <w:r>
        <w:rPr>
          <w:rFonts w:hint="eastAsia" w:ascii="宋体" w:hAnsi="宋体" w:eastAsia="宋体"/>
          <w:b w:val="0"/>
          <w:bCs/>
          <w:sz w:val="24"/>
          <w:szCs w:val="18"/>
          <w:lang w:eastAsia="zh-CN"/>
        </w:rPr>
        <w:t>）</w:t>
      </w:r>
      <w:r>
        <w:rPr>
          <w:rFonts w:hint="eastAsia" w:ascii="宋体" w:hAnsi="宋体" w:eastAsia="宋体"/>
          <w:b w:val="0"/>
          <w:bCs/>
          <w:sz w:val="24"/>
          <w:szCs w:val="18"/>
        </w:rPr>
        <w:t>以上设备</w:t>
      </w:r>
      <w:r>
        <w:rPr>
          <w:rFonts w:hint="eastAsia" w:ascii="宋体" w:hAnsi="宋体" w:eastAsia="宋体"/>
          <w:b w:val="0"/>
          <w:bCs/>
          <w:sz w:val="24"/>
          <w:szCs w:val="18"/>
          <w:lang w:val="en-US" w:eastAsia="zh-CN"/>
        </w:rPr>
        <w:t>技术</w:t>
      </w:r>
      <w:r>
        <w:rPr>
          <w:rFonts w:hint="eastAsia" w:ascii="宋体" w:hAnsi="宋体" w:eastAsia="宋体"/>
          <w:b w:val="0"/>
          <w:bCs/>
          <w:sz w:val="24"/>
          <w:szCs w:val="18"/>
        </w:rPr>
        <w:t>参数仅供参考，相关技术参数</w:t>
      </w:r>
      <w:r>
        <w:rPr>
          <w:rFonts w:hint="eastAsia" w:ascii="宋体" w:hAnsi="宋体" w:eastAsia="宋体"/>
          <w:b w:val="0"/>
          <w:bCs/>
          <w:sz w:val="24"/>
          <w:szCs w:val="18"/>
          <w:lang w:val="en-US" w:eastAsia="zh-CN"/>
        </w:rPr>
        <w:t>及要求</w:t>
      </w:r>
      <w:r>
        <w:rPr>
          <w:rFonts w:hint="eastAsia" w:ascii="宋体" w:hAnsi="宋体" w:eastAsia="宋体"/>
          <w:b w:val="0"/>
          <w:bCs/>
          <w:sz w:val="24"/>
          <w:szCs w:val="18"/>
        </w:rPr>
        <w:t>可在±5%范围内波动；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lang w:eastAsia="zh-CN"/>
        </w:rPr>
        <w:t>（</w:t>
      </w:r>
      <w:r>
        <w:rPr>
          <w:rFonts w:hint="eastAsia" w:ascii="宋体" w:hAnsi="宋体" w:eastAsia="宋体"/>
          <w:b w:val="0"/>
          <w:bCs/>
          <w:sz w:val="24"/>
          <w:szCs w:val="18"/>
          <w:highlight w:val="none"/>
          <w:lang w:val="en-US" w:eastAsia="zh-CN"/>
        </w:rPr>
        <w:t>2</w:t>
      </w:r>
      <w:r>
        <w:rPr>
          <w:rFonts w:hint="eastAsia" w:ascii="宋体" w:hAnsi="宋体" w:eastAsia="宋体"/>
          <w:b w:val="0"/>
          <w:bCs/>
          <w:sz w:val="24"/>
          <w:szCs w:val="18"/>
          <w:highlight w:val="none"/>
          <w:lang w:eastAsia="zh-CN"/>
        </w:rPr>
        <w:t>）</w:t>
      </w:r>
      <w:r>
        <w:rPr>
          <w:rFonts w:hint="eastAsia" w:ascii="宋体" w:hAnsi="宋体" w:eastAsia="宋体"/>
          <w:b w:val="0"/>
          <w:bCs/>
          <w:sz w:val="24"/>
          <w:szCs w:val="18"/>
          <w:highlight w:val="none"/>
        </w:rPr>
        <w:t>合同履约10年后且</w:t>
      </w:r>
      <w:r>
        <w:rPr>
          <w:rFonts w:hint="eastAsia" w:ascii="宋体" w:hAnsi="宋体" w:eastAsia="宋体"/>
          <w:b w:val="0"/>
          <w:bCs/>
          <w:sz w:val="24"/>
          <w:szCs w:val="18"/>
          <w:highlight w:val="none"/>
          <w:lang w:val="en-US" w:eastAsia="zh-CN"/>
        </w:rPr>
        <w:t>采购人</w:t>
      </w:r>
      <w:r>
        <w:rPr>
          <w:rFonts w:hint="eastAsia" w:ascii="宋体" w:hAnsi="宋体" w:eastAsia="宋体"/>
          <w:b w:val="0"/>
          <w:bCs/>
          <w:sz w:val="24"/>
          <w:szCs w:val="18"/>
          <w:highlight w:val="none"/>
        </w:rPr>
        <w:t>对</w:t>
      </w:r>
      <w:r>
        <w:rPr>
          <w:rFonts w:hint="eastAsia" w:ascii="宋体" w:hAnsi="宋体" w:eastAsia="宋体"/>
          <w:b w:val="0"/>
          <w:bCs/>
          <w:sz w:val="24"/>
          <w:szCs w:val="18"/>
          <w:highlight w:val="none"/>
          <w:lang w:val="en-US" w:eastAsia="zh-CN"/>
        </w:rPr>
        <w:t>中标人</w:t>
      </w:r>
      <w:r>
        <w:rPr>
          <w:rFonts w:hint="eastAsia" w:ascii="宋体" w:hAnsi="宋体" w:eastAsia="宋体"/>
          <w:b w:val="0"/>
          <w:bCs/>
          <w:sz w:val="24"/>
          <w:szCs w:val="18"/>
          <w:highlight w:val="none"/>
        </w:rPr>
        <w:t>无欠款，则</w:t>
      </w:r>
      <w:r>
        <w:rPr>
          <w:rFonts w:hint="eastAsia" w:ascii="宋体" w:hAnsi="宋体" w:eastAsia="宋体"/>
          <w:b w:val="0"/>
          <w:bCs/>
          <w:sz w:val="24"/>
          <w:szCs w:val="18"/>
          <w:highlight w:val="none"/>
          <w:lang w:val="en-US" w:eastAsia="zh-CN"/>
        </w:rPr>
        <w:t>中标人</w:t>
      </w:r>
      <w:r>
        <w:rPr>
          <w:rFonts w:hint="eastAsia" w:ascii="宋体" w:hAnsi="宋体" w:eastAsia="宋体"/>
          <w:b w:val="0"/>
          <w:bCs/>
          <w:sz w:val="24"/>
          <w:szCs w:val="18"/>
          <w:highlight w:val="none"/>
        </w:rPr>
        <w:t>所投</w:t>
      </w:r>
      <w:r>
        <w:rPr>
          <w:rFonts w:hint="eastAsia" w:ascii="宋体" w:hAnsi="宋体" w:eastAsia="宋体"/>
          <w:b w:val="0"/>
          <w:bCs/>
          <w:sz w:val="24"/>
          <w:szCs w:val="18"/>
          <w:highlight w:val="none"/>
          <w:lang w:val="en-US" w:eastAsia="zh-CN"/>
        </w:rPr>
        <w:t>入</w:t>
      </w:r>
      <w:r>
        <w:rPr>
          <w:rFonts w:hint="eastAsia" w:ascii="宋体" w:hAnsi="宋体" w:eastAsia="宋体"/>
          <w:b w:val="0"/>
          <w:bCs/>
          <w:sz w:val="24"/>
          <w:szCs w:val="18"/>
          <w:highlight w:val="none"/>
        </w:rPr>
        <w:t>设备的产权归</w:t>
      </w:r>
      <w:r>
        <w:rPr>
          <w:rFonts w:hint="eastAsia" w:ascii="宋体" w:hAnsi="宋体" w:eastAsia="宋体"/>
          <w:b w:val="0"/>
          <w:bCs/>
          <w:sz w:val="24"/>
          <w:szCs w:val="18"/>
          <w:highlight w:val="none"/>
          <w:lang w:val="en-US" w:eastAsia="zh-CN"/>
        </w:rPr>
        <w:t>采购人</w:t>
      </w:r>
      <w:r>
        <w:rPr>
          <w:rFonts w:hint="eastAsia" w:ascii="宋体" w:hAnsi="宋体" w:eastAsia="宋体"/>
          <w:b w:val="0"/>
          <w:bCs/>
          <w:sz w:val="24"/>
          <w:szCs w:val="18"/>
          <w:highlight w:val="none"/>
        </w:rPr>
        <w:t>所有；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3</w:t>
      </w:r>
      <w:r>
        <w:rPr>
          <w:rFonts w:hint="eastAsia" w:ascii="宋体" w:hAnsi="宋体" w:eastAsia="宋体"/>
          <w:b w:val="0"/>
          <w:bCs/>
          <w:sz w:val="24"/>
          <w:szCs w:val="18"/>
          <w:lang w:eastAsia="zh-CN"/>
        </w:rPr>
        <w:t>）</w:t>
      </w:r>
      <w:r>
        <w:rPr>
          <w:rFonts w:hint="eastAsia" w:ascii="宋体" w:hAnsi="宋体" w:eastAsia="宋体"/>
          <w:b w:val="0"/>
          <w:bCs/>
          <w:sz w:val="24"/>
          <w:szCs w:val="18"/>
        </w:rPr>
        <w:t>如有改造范围的增减需获得</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认可；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2、总体要求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（1）改造原则：对于</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要求改造项目，</w:t>
      </w:r>
      <w:r>
        <w:rPr>
          <w:rFonts w:hint="eastAsia" w:ascii="宋体" w:hAnsi="宋体" w:eastAsia="宋体"/>
          <w:b w:val="0"/>
          <w:bCs/>
          <w:sz w:val="24"/>
          <w:szCs w:val="18"/>
          <w:lang w:val="en-US" w:eastAsia="zh-CN"/>
        </w:rPr>
        <w:t>中标人须满足</w:t>
      </w:r>
      <w:r>
        <w:rPr>
          <w:rFonts w:hint="eastAsia" w:ascii="宋体" w:hAnsi="宋体" w:eastAsia="宋体"/>
          <w:b w:val="0"/>
          <w:bCs/>
          <w:sz w:val="24"/>
          <w:szCs w:val="18"/>
        </w:rPr>
        <w:t>；对于其它未涉及</w:t>
      </w:r>
      <w:r>
        <w:rPr>
          <w:rFonts w:hint="eastAsia" w:ascii="宋体" w:hAnsi="宋体" w:eastAsia="宋体"/>
          <w:b w:val="0"/>
          <w:bCs/>
          <w:sz w:val="24"/>
          <w:szCs w:val="18"/>
          <w:lang w:val="en-US" w:eastAsia="zh-CN"/>
        </w:rPr>
        <w:t>的</w:t>
      </w:r>
      <w:r>
        <w:rPr>
          <w:rFonts w:hint="eastAsia" w:ascii="宋体" w:hAnsi="宋体" w:eastAsia="宋体"/>
          <w:b w:val="0"/>
          <w:bCs/>
          <w:sz w:val="24"/>
          <w:szCs w:val="18"/>
        </w:rPr>
        <w:t>节能技术，</w:t>
      </w:r>
      <w:r>
        <w:rPr>
          <w:rFonts w:hint="eastAsia" w:ascii="宋体" w:hAnsi="宋体" w:eastAsia="宋体"/>
          <w:b w:val="0"/>
          <w:bCs/>
          <w:sz w:val="24"/>
          <w:szCs w:val="18"/>
          <w:lang w:val="en-US" w:eastAsia="zh-CN"/>
        </w:rPr>
        <w:t>中标人</w:t>
      </w:r>
      <w:r>
        <w:rPr>
          <w:rFonts w:hint="eastAsia" w:ascii="宋体" w:hAnsi="宋体" w:eastAsia="宋体"/>
          <w:b w:val="0"/>
          <w:bCs/>
          <w:sz w:val="24"/>
          <w:szCs w:val="18"/>
        </w:rPr>
        <w:t>需实际勘察现场条件，可因地制宜，选择技术先进、经济合理的技术或产品，技术或产品要求技术成熟、稳定可靠。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2</w:t>
      </w:r>
      <w:r>
        <w:rPr>
          <w:rFonts w:hint="eastAsia" w:ascii="宋体" w:hAnsi="宋体" w:eastAsia="宋体"/>
          <w:b w:val="0"/>
          <w:bCs/>
          <w:sz w:val="24"/>
          <w:szCs w:val="18"/>
          <w:lang w:eastAsia="zh-CN"/>
        </w:rPr>
        <w:t>）</w:t>
      </w:r>
      <w:r>
        <w:rPr>
          <w:rFonts w:hint="eastAsia" w:ascii="宋体" w:hAnsi="宋体" w:eastAsia="宋体"/>
          <w:b w:val="0"/>
          <w:bCs/>
          <w:sz w:val="24"/>
          <w:szCs w:val="18"/>
        </w:rPr>
        <w:t>改造应在不对日常医院正常运营造成重大影响的情况进行；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3</w:t>
      </w:r>
      <w:r>
        <w:rPr>
          <w:rFonts w:hint="eastAsia" w:ascii="宋体" w:hAnsi="宋体" w:eastAsia="宋体"/>
          <w:b w:val="0"/>
          <w:bCs/>
          <w:sz w:val="24"/>
          <w:szCs w:val="18"/>
          <w:lang w:eastAsia="zh-CN"/>
        </w:rPr>
        <w:t>）</w:t>
      </w:r>
      <w:r>
        <w:rPr>
          <w:rFonts w:hint="eastAsia" w:ascii="宋体" w:hAnsi="宋体" w:eastAsia="宋体"/>
          <w:b w:val="0"/>
          <w:bCs/>
          <w:sz w:val="24"/>
          <w:szCs w:val="18"/>
        </w:rPr>
        <w:t>改造不应影响原有系统的正常运行；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3、技术要求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（1）节能改造技术要求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①节能措施符合国家法律法规、产业政策要求以及工艺、设备等相关标准的规定，产品设计及设备安装应符合《合同能源管理技术通则》（GB/T24915-2010）规定。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 xml:space="preserve">②项目的技术改造不能影响其它设备的正常使用，保证项目运行安全性、可靠性。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lang w:val="en-US" w:eastAsia="zh-CN"/>
        </w:rPr>
        <w:t>4、历史</w:t>
      </w:r>
      <w:r>
        <w:rPr>
          <w:rFonts w:hint="eastAsia" w:ascii="宋体" w:hAnsi="宋体" w:eastAsia="宋体"/>
          <w:b w:val="0"/>
          <w:bCs/>
          <w:sz w:val="24"/>
          <w:szCs w:val="18"/>
        </w:rPr>
        <w:t>能耗费用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lang w:val="en-US" w:eastAsia="zh-CN"/>
        </w:rPr>
        <w:t>医院</w:t>
      </w:r>
      <w:r>
        <w:rPr>
          <w:rFonts w:hint="eastAsia" w:ascii="宋体" w:hAnsi="宋体" w:eastAsia="宋体"/>
          <w:b w:val="0"/>
          <w:bCs/>
          <w:sz w:val="24"/>
          <w:szCs w:val="18"/>
        </w:rPr>
        <w:t>近三年平均年基准能耗费用4596223.85元</w:t>
      </w:r>
      <w:r>
        <w:rPr>
          <w:rFonts w:hint="eastAsia" w:ascii="宋体" w:hAnsi="宋体" w:eastAsia="宋体"/>
          <w:b w:val="0"/>
          <w:bCs/>
          <w:sz w:val="24"/>
          <w:szCs w:val="18"/>
          <w:lang w:eastAsia="zh-CN"/>
        </w:rPr>
        <w:t>。</w:t>
      </w:r>
      <w:r>
        <w:rPr>
          <w:rFonts w:hint="eastAsia" w:ascii="宋体" w:hAnsi="宋体" w:eastAsia="宋体"/>
          <w:b w:val="0"/>
          <w:bCs/>
          <w:sz w:val="24"/>
          <w:szCs w:val="18"/>
        </w:rPr>
        <w:t>包括的分项费用分别为：年电费： 3409010.29 元；年水费：295867.73元；年柴油费： 641345.83元；年中央空调维保费：250000.00元。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b w:val="0"/>
          <w:bCs/>
          <w:sz w:val="24"/>
          <w:szCs w:val="18"/>
        </w:rPr>
      </w:pPr>
      <w:r>
        <w:rPr>
          <w:rFonts w:hint="eastAsia" w:ascii="宋体" w:hAnsi="宋体" w:eastAsia="宋体"/>
          <w:b/>
          <w:bCs w:val="0"/>
          <w:sz w:val="24"/>
          <w:szCs w:val="18"/>
          <w:lang w:val="en-US" w:eastAsia="zh-CN"/>
        </w:rPr>
        <w:t>六、</w:t>
      </w:r>
      <w:r>
        <w:rPr>
          <w:rFonts w:hint="eastAsia" w:ascii="宋体" w:hAnsi="宋体" w:eastAsia="宋体"/>
          <w:b/>
          <w:bCs w:val="0"/>
          <w:sz w:val="24"/>
          <w:szCs w:val="18"/>
        </w:rPr>
        <w:t>托管费用调整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highlight w:val="none"/>
        </w:rPr>
        <w:t>价格变动计算：</w:t>
      </w:r>
      <w:r>
        <w:rPr>
          <w:rFonts w:hint="eastAsia" w:ascii="宋体" w:hAnsi="宋体" w:eastAsia="宋体"/>
          <w:b w:val="0"/>
          <w:bCs/>
          <w:sz w:val="24"/>
          <w:szCs w:val="18"/>
        </w:rPr>
        <w:t>每自然年度结束15个工作日内，根据上一年度的每种能源的总使用量和总交费数，计算单位能源年度平均单价。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（2）调整办法：若单位能源平均单价与基准价相比小于5%，上年托管价格不作调整。若单能源平均单价与基准价相比大于等于5% ，上年托管价格相应比例调整，多退少补。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（3）若能源价格变化由于</w:t>
      </w:r>
      <w:r>
        <w:rPr>
          <w:rFonts w:hint="eastAsia" w:ascii="宋体" w:hAnsi="宋体" w:eastAsia="宋体"/>
          <w:b w:val="0"/>
          <w:bCs/>
          <w:sz w:val="24"/>
          <w:szCs w:val="18"/>
          <w:lang w:val="en-US" w:eastAsia="zh-CN"/>
        </w:rPr>
        <w:t>中</w:t>
      </w:r>
      <w:r>
        <w:rPr>
          <w:rFonts w:hint="eastAsia" w:ascii="宋体" w:hAnsi="宋体" w:eastAsia="宋体"/>
          <w:b w:val="0"/>
          <w:bCs/>
          <w:sz w:val="24"/>
          <w:szCs w:val="18"/>
        </w:rPr>
        <w:t>标人市场化运作导致，而非能源提供单位对社会统一调整，不在此条范围内。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（4）</w:t>
      </w:r>
      <w:r>
        <w:rPr>
          <w:rFonts w:hint="eastAsia" w:asciiTheme="minorEastAsia" w:hAnsiTheme="minorEastAsia" w:eastAsiaTheme="minorEastAsia" w:cstheme="minorEastAsia"/>
          <w:b w:val="0"/>
          <w:bCs/>
          <w:sz w:val="24"/>
          <w:szCs w:val="18"/>
          <w:highlight w:val="none"/>
        </w:rPr>
        <w:t>当实际计费面积或建筑功能变化超过2%，则当月起按各功能区域的实际计费面积进行相应调整收费</w:t>
      </w:r>
      <w:r>
        <w:rPr>
          <w:rFonts w:hint="eastAsia" w:ascii="宋体" w:hAnsi="宋体" w:eastAsia="宋体"/>
          <w:b w:val="0"/>
          <w:bCs/>
          <w:sz w:val="24"/>
          <w:szCs w:val="1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sz w:val="24"/>
          <w:szCs w:val="18"/>
        </w:rPr>
      </w:pPr>
      <w:r>
        <w:rPr>
          <w:rFonts w:hint="eastAsia" w:ascii="宋体" w:hAnsi="宋体" w:eastAsia="宋体"/>
          <w:b w:val="0"/>
          <w:bCs/>
          <w:sz w:val="24"/>
          <w:szCs w:val="18"/>
        </w:rPr>
        <w:t>（5）若在运营服务期开始后，托管服务大楼的用能设备有较大的改变（增加或减少30kW以上），按照实际增加或者减少的能源费用据实调整。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b/>
          <w:sz w:val="24"/>
          <w:szCs w:val="18"/>
        </w:rPr>
      </w:pPr>
      <w:r>
        <w:rPr>
          <w:rFonts w:hint="eastAsia" w:ascii="宋体" w:hAnsi="宋体" w:eastAsia="宋体"/>
          <w:b/>
          <w:sz w:val="24"/>
          <w:szCs w:val="18"/>
          <w:lang w:val="en-US" w:eastAsia="zh-CN"/>
        </w:rPr>
        <w:t>七</w:t>
      </w:r>
      <w:r>
        <w:rPr>
          <w:rFonts w:hint="eastAsia" w:ascii="宋体" w:hAnsi="宋体" w:eastAsia="宋体"/>
          <w:b/>
          <w:sz w:val="24"/>
          <w:szCs w:val="18"/>
        </w:rPr>
        <w:t>、报价要求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sz w:val="24"/>
          <w:szCs w:val="18"/>
          <w:lang w:eastAsia="zh-CN"/>
        </w:rPr>
      </w:pPr>
      <w:r>
        <w:rPr>
          <w:rFonts w:hint="eastAsia" w:ascii="宋体" w:hAnsi="宋体" w:eastAsia="宋体"/>
          <w:b w:val="0"/>
          <w:bCs/>
          <w:sz w:val="24"/>
          <w:szCs w:val="18"/>
        </w:rPr>
        <w:t>本项目报</w:t>
      </w:r>
      <w:r>
        <w:rPr>
          <w:rFonts w:hint="eastAsia" w:ascii="宋体" w:hAnsi="宋体" w:eastAsia="宋体"/>
          <w:b/>
          <w:bCs w:val="0"/>
          <w:sz w:val="24"/>
          <w:szCs w:val="18"/>
          <w:lang w:val="en-US" w:eastAsia="zh-CN"/>
        </w:rPr>
        <w:t>一年的</w:t>
      </w:r>
      <w:r>
        <w:rPr>
          <w:rFonts w:hint="eastAsia" w:ascii="宋体" w:hAnsi="宋体" w:eastAsia="宋体"/>
          <w:b/>
          <w:bCs w:val="0"/>
          <w:sz w:val="24"/>
          <w:szCs w:val="18"/>
        </w:rPr>
        <w:t>托管</w:t>
      </w:r>
      <w:r>
        <w:rPr>
          <w:rFonts w:hint="eastAsia" w:ascii="宋体" w:hAnsi="宋体" w:eastAsia="宋体"/>
          <w:b/>
          <w:bCs w:val="0"/>
          <w:sz w:val="24"/>
          <w:szCs w:val="18"/>
          <w:lang w:val="en-US" w:eastAsia="zh-CN"/>
        </w:rPr>
        <w:t>总</w:t>
      </w:r>
      <w:r>
        <w:rPr>
          <w:rFonts w:hint="eastAsia" w:ascii="宋体" w:hAnsi="宋体" w:eastAsia="宋体"/>
          <w:b/>
          <w:bCs w:val="0"/>
          <w:sz w:val="24"/>
          <w:szCs w:val="18"/>
        </w:rPr>
        <w:t>费用</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即</w:t>
      </w:r>
      <w:r>
        <w:rPr>
          <w:rFonts w:hint="eastAsia" w:ascii="宋体" w:hAnsi="宋体" w:eastAsia="宋体"/>
          <w:b w:val="0"/>
          <w:bCs/>
          <w:sz w:val="24"/>
          <w:szCs w:val="18"/>
          <w:u w:val="single"/>
          <w:lang w:val="en-US" w:eastAsia="zh-CN"/>
        </w:rPr>
        <w:t xml:space="preserve">    </w:t>
      </w:r>
      <w:r>
        <w:rPr>
          <w:rFonts w:hint="eastAsia" w:ascii="宋体" w:hAnsi="宋体" w:eastAsia="宋体"/>
          <w:b w:val="0"/>
          <w:bCs/>
          <w:sz w:val="24"/>
          <w:szCs w:val="18"/>
          <w:u w:val="none"/>
          <w:lang w:val="en-US" w:eastAsia="zh-CN"/>
        </w:rPr>
        <w:t>元/年</w:t>
      </w:r>
      <w:r>
        <w:rPr>
          <w:rFonts w:hint="eastAsia" w:ascii="宋体" w:hAnsi="宋体" w:eastAsia="宋体"/>
          <w:b w:val="0"/>
          <w:bCs/>
          <w:sz w:val="24"/>
          <w:szCs w:val="18"/>
          <w:lang w:eastAsia="zh-CN"/>
        </w:rPr>
        <w:t>）</w:t>
      </w:r>
      <w:r>
        <w:rPr>
          <w:rFonts w:hint="eastAsia" w:ascii="宋体" w:hAnsi="宋体" w:eastAsia="宋体"/>
          <w:b w:val="0"/>
          <w:bCs/>
          <w:sz w:val="24"/>
          <w:szCs w:val="18"/>
          <w:u w:val="none"/>
          <w:lang w:val="en-US" w:eastAsia="zh-CN"/>
        </w:rPr>
        <w:t>，</w:t>
      </w:r>
      <w:r>
        <w:rPr>
          <w:rFonts w:hint="eastAsia" w:ascii="宋体" w:hAnsi="宋体" w:eastAsia="宋体"/>
          <w:b w:val="0"/>
          <w:bCs/>
          <w:sz w:val="24"/>
          <w:szCs w:val="18"/>
        </w:rPr>
        <w:t>报价即完成本项目</w:t>
      </w:r>
      <w:r>
        <w:rPr>
          <w:rFonts w:hint="eastAsia" w:ascii="宋体" w:hAnsi="宋体" w:eastAsia="宋体"/>
          <w:b w:val="0"/>
          <w:bCs/>
          <w:sz w:val="24"/>
          <w:szCs w:val="18"/>
          <w:lang w:val="en-US" w:eastAsia="zh-CN"/>
        </w:rPr>
        <w:t>一年的托管服务</w:t>
      </w:r>
      <w:r>
        <w:rPr>
          <w:rFonts w:hint="eastAsia" w:ascii="宋体" w:hAnsi="宋体" w:eastAsia="宋体"/>
          <w:b w:val="0"/>
          <w:bCs/>
          <w:sz w:val="24"/>
          <w:szCs w:val="18"/>
        </w:rPr>
        <w:t>的全部内容的所有费用</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包含但不限于</w:t>
      </w:r>
      <w:r>
        <w:rPr>
          <w:rFonts w:hint="eastAsia" w:ascii="宋体" w:hAnsi="宋体" w:eastAsia="宋体"/>
          <w:b w:val="0"/>
          <w:bCs/>
          <w:sz w:val="24"/>
          <w:szCs w:val="18"/>
        </w:rPr>
        <w:t>所投入的设备费、节能改造施工费、水费、电费、人工成本、维保成本、设备折旧、税金、风险金及合理利润等</w:t>
      </w:r>
      <w:r>
        <w:rPr>
          <w:rFonts w:hint="eastAsia" w:ascii="宋体" w:hAnsi="宋体" w:eastAsia="宋体"/>
          <w:b w:val="0"/>
          <w:bCs/>
          <w:sz w:val="24"/>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b/>
          <w:sz w:val="24"/>
          <w:szCs w:val="18"/>
        </w:rPr>
      </w:pPr>
      <w:r>
        <w:rPr>
          <w:rFonts w:hint="eastAsia" w:ascii="宋体" w:hAnsi="宋体" w:eastAsia="宋体"/>
          <w:b/>
          <w:sz w:val="24"/>
          <w:szCs w:val="18"/>
          <w:lang w:val="en-US" w:eastAsia="zh-CN"/>
        </w:rPr>
        <w:t>八</w:t>
      </w:r>
      <w:r>
        <w:rPr>
          <w:rFonts w:hint="eastAsia" w:ascii="宋体" w:hAnsi="宋体" w:eastAsia="宋体"/>
          <w:b/>
          <w:sz w:val="24"/>
          <w:szCs w:val="18"/>
        </w:rPr>
        <w:t>、其他要求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18"/>
        </w:rPr>
      </w:pPr>
      <w:r>
        <w:rPr>
          <w:rFonts w:hint="eastAsia" w:asciiTheme="minorEastAsia" w:hAnsiTheme="minorEastAsia" w:eastAsiaTheme="minorEastAsia" w:cstheme="minorEastAsia"/>
          <w:b w:val="0"/>
          <w:bCs/>
          <w:sz w:val="24"/>
          <w:szCs w:val="18"/>
        </w:rPr>
        <w:t>1、</w:t>
      </w:r>
      <w:r>
        <w:rPr>
          <w:rFonts w:hint="eastAsia" w:asciiTheme="minorEastAsia" w:hAnsiTheme="minorEastAsia" w:eastAsiaTheme="minorEastAsia" w:cstheme="minorEastAsia"/>
          <w:b w:val="0"/>
          <w:bCs/>
          <w:sz w:val="24"/>
          <w:szCs w:val="18"/>
          <w:lang w:val="en-US" w:eastAsia="zh-CN"/>
        </w:rPr>
        <w:t>中标人</w:t>
      </w:r>
      <w:r>
        <w:rPr>
          <w:rFonts w:hint="eastAsia" w:asciiTheme="minorEastAsia" w:hAnsiTheme="minorEastAsia" w:eastAsiaTheme="minorEastAsia" w:cstheme="minorEastAsia"/>
          <w:b w:val="0"/>
          <w:bCs/>
          <w:sz w:val="24"/>
          <w:szCs w:val="18"/>
        </w:rPr>
        <w:t>需自行进行勘察，施工过程中需对施工现场周边房屋、道路等设备、设施做好防护工作。施工中需保护好楼内其它原有设备，如造成损坏，无条件负责修复。给</w:t>
      </w:r>
      <w:r>
        <w:rPr>
          <w:rFonts w:hint="eastAsia" w:asciiTheme="minorEastAsia" w:hAnsiTheme="minorEastAsia" w:eastAsiaTheme="minorEastAsia" w:cstheme="minorEastAsia"/>
          <w:b w:val="0"/>
          <w:bCs/>
          <w:sz w:val="24"/>
          <w:szCs w:val="18"/>
          <w:lang w:val="en-US" w:eastAsia="zh-CN"/>
        </w:rPr>
        <w:t>采购人</w:t>
      </w:r>
      <w:r>
        <w:rPr>
          <w:rFonts w:hint="eastAsia" w:asciiTheme="minorEastAsia" w:hAnsiTheme="minorEastAsia" w:eastAsiaTheme="minorEastAsia" w:cstheme="minorEastAsia"/>
          <w:b w:val="0"/>
          <w:bCs/>
          <w:sz w:val="24"/>
          <w:szCs w:val="18"/>
        </w:rPr>
        <w:t>造成损害的，负责赔偿</w:t>
      </w:r>
      <w:r>
        <w:rPr>
          <w:rFonts w:hint="eastAsia" w:asciiTheme="minorEastAsia" w:hAnsiTheme="minorEastAsia" w:eastAsiaTheme="minorEastAsia" w:cstheme="minorEastAsia"/>
          <w:b w:val="0"/>
          <w:bCs/>
          <w:sz w:val="24"/>
          <w:szCs w:val="18"/>
          <w:lang w:val="en-US" w:eastAsia="zh-CN"/>
        </w:rPr>
        <w:t>采购人</w:t>
      </w:r>
      <w:r>
        <w:rPr>
          <w:rFonts w:hint="eastAsia" w:asciiTheme="minorEastAsia" w:hAnsiTheme="minorEastAsia" w:eastAsiaTheme="minorEastAsia" w:cstheme="minorEastAsia"/>
          <w:b w:val="0"/>
          <w:bCs/>
          <w:sz w:val="24"/>
          <w:szCs w:val="18"/>
        </w:rPr>
        <w:t>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18"/>
        </w:rPr>
      </w:pPr>
      <w:r>
        <w:rPr>
          <w:rFonts w:hint="eastAsia" w:asciiTheme="minorEastAsia" w:hAnsiTheme="minorEastAsia" w:eastAsiaTheme="minorEastAsia" w:cstheme="minorEastAsia"/>
          <w:b w:val="0"/>
          <w:bCs/>
          <w:sz w:val="24"/>
          <w:szCs w:val="18"/>
        </w:rPr>
        <w:t>2、承包方式：包工包料，材料的品牌、性能指标需经</w:t>
      </w:r>
      <w:r>
        <w:rPr>
          <w:rFonts w:hint="eastAsia" w:asciiTheme="minorEastAsia" w:hAnsiTheme="minorEastAsia" w:eastAsiaTheme="minorEastAsia" w:cstheme="minorEastAsia"/>
          <w:b w:val="0"/>
          <w:bCs/>
          <w:sz w:val="24"/>
          <w:szCs w:val="18"/>
          <w:lang w:val="en-US" w:eastAsia="zh-CN"/>
        </w:rPr>
        <w:t>采购人</w:t>
      </w:r>
      <w:r>
        <w:rPr>
          <w:rFonts w:hint="eastAsia" w:asciiTheme="minorEastAsia" w:hAnsiTheme="minorEastAsia" w:eastAsiaTheme="minorEastAsia" w:cstheme="minorEastAsia"/>
          <w:b w:val="0"/>
          <w:bCs/>
          <w:sz w:val="24"/>
          <w:szCs w:val="18"/>
        </w:rPr>
        <w:t>核定。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18"/>
        </w:rPr>
      </w:pPr>
      <w:r>
        <w:rPr>
          <w:rFonts w:hint="eastAsia" w:asciiTheme="minorEastAsia" w:hAnsiTheme="minorEastAsia" w:eastAsiaTheme="minorEastAsia" w:cstheme="minorEastAsia"/>
          <w:b w:val="0"/>
          <w:bCs/>
          <w:sz w:val="24"/>
          <w:szCs w:val="18"/>
        </w:rPr>
        <w:t>3、质量标准：合格；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18"/>
        </w:rPr>
      </w:pPr>
      <w:r>
        <w:rPr>
          <w:rFonts w:hint="eastAsia" w:asciiTheme="minorEastAsia" w:hAnsiTheme="minorEastAsia" w:eastAsiaTheme="minorEastAsia" w:cstheme="minorEastAsia"/>
          <w:b w:val="0"/>
          <w:bCs/>
          <w:sz w:val="24"/>
          <w:szCs w:val="18"/>
        </w:rPr>
        <w:t>4、工期要求：合同签订</w:t>
      </w:r>
      <w:r>
        <w:rPr>
          <w:rFonts w:hint="eastAsia" w:asciiTheme="minorEastAsia" w:hAnsiTheme="minorEastAsia" w:eastAsiaTheme="minorEastAsia" w:cstheme="minorEastAsia"/>
          <w:b w:val="0"/>
          <w:bCs/>
          <w:sz w:val="24"/>
          <w:szCs w:val="18"/>
          <w:lang w:val="en-US" w:eastAsia="zh-CN"/>
        </w:rPr>
        <w:t>后</w:t>
      </w:r>
      <w:r>
        <w:rPr>
          <w:rFonts w:hint="eastAsia" w:asciiTheme="minorEastAsia" w:hAnsiTheme="minorEastAsia" w:eastAsiaTheme="minorEastAsia" w:cstheme="minorEastAsia"/>
          <w:b w:val="0"/>
          <w:bCs/>
          <w:sz w:val="24"/>
          <w:szCs w:val="18"/>
        </w:rPr>
        <w:t>，90</w:t>
      </w:r>
      <w:r>
        <w:rPr>
          <w:rFonts w:hint="eastAsia" w:asciiTheme="minorEastAsia" w:hAnsiTheme="minorEastAsia" w:eastAsiaTheme="minorEastAsia" w:cstheme="minorEastAsia"/>
          <w:b w:val="0"/>
          <w:bCs/>
          <w:sz w:val="24"/>
          <w:szCs w:val="18"/>
          <w:lang w:val="en-US" w:eastAsia="zh-CN"/>
        </w:rPr>
        <w:t>个日历日内</w:t>
      </w:r>
      <w:r>
        <w:rPr>
          <w:rFonts w:hint="eastAsia" w:asciiTheme="minorEastAsia" w:hAnsiTheme="minorEastAsia" w:eastAsiaTheme="minorEastAsia" w:cstheme="minorEastAsia"/>
          <w:b w:val="0"/>
          <w:bCs/>
          <w:sz w:val="24"/>
          <w:szCs w:val="18"/>
        </w:rPr>
        <w:t>完成改造；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18"/>
        </w:rPr>
      </w:pPr>
      <w:r>
        <w:rPr>
          <w:rFonts w:hint="eastAsia" w:asciiTheme="minorEastAsia" w:hAnsiTheme="minorEastAsia" w:eastAsiaTheme="minorEastAsia" w:cstheme="minorEastAsia"/>
          <w:b w:val="0"/>
          <w:bCs/>
          <w:sz w:val="24"/>
          <w:szCs w:val="18"/>
        </w:rPr>
        <w:t>5、</w:t>
      </w:r>
      <w:r>
        <w:rPr>
          <w:rFonts w:hint="eastAsia" w:asciiTheme="minorEastAsia" w:hAnsiTheme="minorEastAsia" w:eastAsiaTheme="minorEastAsia" w:cstheme="minorEastAsia"/>
          <w:b w:val="0"/>
          <w:bCs/>
          <w:sz w:val="24"/>
          <w:szCs w:val="18"/>
          <w:lang w:val="en-US" w:eastAsia="zh-CN"/>
        </w:rPr>
        <w:t>托管</w:t>
      </w:r>
      <w:r>
        <w:rPr>
          <w:rFonts w:hint="eastAsia" w:asciiTheme="minorEastAsia" w:hAnsiTheme="minorEastAsia" w:eastAsiaTheme="minorEastAsia" w:cstheme="minorEastAsia"/>
          <w:b w:val="0"/>
          <w:bCs/>
          <w:sz w:val="24"/>
          <w:szCs w:val="18"/>
          <w:highlight w:val="none"/>
        </w:rPr>
        <w:t>服务期：</w:t>
      </w:r>
      <w:r>
        <w:rPr>
          <w:rFonts w:hint="eastAsia" w:asciiTheme="minorEastAsia" w:hAnsiTheme="minorEastAsia" w:eastAsiaTheme="minorEastAsia" w:cstheme="minorEastAsia"/>
          <w:b w:val="0"/>
          <w:bCs/>
          <w:sz w:val="24"/>
          <w:szCs w:val="18"/>
          <w:highlight w:val="none"/>
          <w:lang w:val="en-US" w:eastAsia="zh-CN"/>
        </w:rPr>
        <w:t>改造验收合格后</w:t>
      </w:r>
      <w:r>
        <w:rPr>
          <w:rFonts w:hint="eastAsia" w:asciiTheme="minorEastAsia" w:hAnsiTheme="minorEastAsia" w:eastAsiaTheme="minorEastAsia" w:cstheme="minorEastAsia"/>
          <w:b w:val="0"/>
          <w:bCs/>
          <w:sz w:val="24"/>
          <w:szCs w:val="18"/>
          <w:highlight w:val="none"/>
        </w:rPr>
        <w:t>10年；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18"/>
        </w:rPr>
      </w:pPr>
      <w:r>
        <w:rPr>
          <w:rFonts w:hint="eastAsia" w:asciiTheme="minorEastAsia" w:hAnsiTheme="minorEastAsia" w:eastAsiaTheme="minorEastAsia" w:cstheme="minorEastAsia"/>
          <w:b w:val="0"/>
          <w:bCs/>
          <w:sz w:val="24"/>
          <w:szCs w:val="18"/>
        </w:rPr>
        <w:t>6、维保约定</w:t>
      </w:r>
      <w:r>
        <w:rPr>
          <w:rFonts w:hint="eastAsia" w:asciiTheme="minorEastAsia" w:hAnsiTheme="minorEastAsia" w:eastAsiaTheme="minorEastAsia" w:cstheme="minorEastAsia"/>
          <w:b w:val="0"/>
          <w:bCs/>
          <w:sz w:val="24"/>
          <w:szCs w:val="18"/>
          <w:lang w:eastAsia="zh-CN"/>
        </w:rPr>
        <w:t>：</w:t>
      </w:r>
      <w:r>
        <w:rPr>
          <w:rFonts w:hint="eastAsia" w:asciiTheme="minorEastAsia" w:hAnsiTheme="minorEastAsia" w:eastAsiaTheme="minorEastAsia" w:cstheme="minorEastAsia"/>
          <w:b w:val="0"/>
          <w:bCs/>
          <w:sz w:val="24"/>
          <w:szCs w:val="18"/>
          <w:lang w:val="en-US" w:eastAsia="zh-CN"/>
        </w:rPr>
        <w:t>中标人</w:t>
      </w:r>
      <w:r>
        <w:rPr>
          <w:rFonts w:hint="eastAsia" w:asciiTheme="minorEastAsia" w:hAnsiTheme="minorEastAsia" w:eastAsiaTheme="minorEastAsia" w:cstheme="minorEastAsia"/>
          <w:b w:val="0"/>
          <w:bCs/>
          <w:sz w:val="24"/>
          <w:szCs w:val="18"/>
        </w:rPr>
        <w:t>负责空调系统的维保，维保费用包含在</w:t>
      </w:r>
      <w:r>
        <w:rPr>
          <w:rFonts w:hint="eastAsia" w:asciiTheme="minorEastAsia" w:hAnsiTheme="minorEastAsia" w:eastAsiaTheme="minorEastAsia" w:cstheme="minorEastAsia"/>
          <w:b w:val="0"/>
          <w:bCs/>
          <w:sz w:val="24"/>
          <w:szCs w:val="18"/>
          <w:lang w:val="en-US" w:eastAsia="zh-CN"/>
        </w:rPr>
        <w:t>报价</w:t>
      </w:r>
      <w:r>
        <w:rPr>
          <w:rFonts w:hint="eastAsia" w:asciiTheme="minorEastAsia" w:hAnsiTheme="minorEastAsia" w:eastAsiaTheme="minorEastAsia" w:cstheme="minorEastAsia"/>
          <w:b w:val="0"/>
          <w:bCs/>
          <w:sz w:val="24"/>
          <w:szCs w:val="18"/>
        </w:rPr>
        <w:t>内。此次</w:t>
      </w:r>
      <w:r>
        <w:rPr>
          <w:rFonts w:hint="eastAsia" w:asciiTheme="minorEastAsia" w:hAnsiTheme="minorEastAsia" w:eastAsiaTheme="minorEastAsia" w:cstheme="minorEastAsia"/>
          <w:b w:val="0"/>
          <w:bCs/>
          <w:sz w:val="24"/>
          <w:szCs w:val="18"/>
          <w:lang w:val="en-US" w:eastAsia="zh-CN"/>
        </w:rPr>
        <w:t>采购</w:t>
      </w:r>
      <w:r>
        <w:rPr>
          <w:rFonts w:hint="eastAsia" w:asciiTheme="minorEastAsia" w:hAnsiTheme="minorEastAsia" w:eastAsiaTheme="minorEastAsia" w:cstheme="minorEastAsia"/>
          <w:b w:val="0"/>
          <w:bCs/>
          <w:sz w:val="24"/>
          <w:szCs w:val="18"/>
        </w:rPr>
        <w:t>范围内的设备及</w:t>
      </w:r>
      <w:r>
        <w:rPr>
          <w:rFonts w:hint="eastAsia" w:asciiTheme="minorEastAsia" w:hAnsiTheme="minorEastAsia" w:eastAsiaTheme="minorEastAsia" w:cstheme="minorEastAsia"/>
          <w:b w:val="0"/>
          <w:bCs/>
          <w:sz w:val="24"/>
          <w:szCs w:val="18"/>
          <w:lang w:val="en-US" w:eastAsia="zh-CN"/>
        </w:rPr>
        <w:t>中标人</w:t>
      </w:r>
      <w:r>
        <w:rPr>
          <w:rFonts w:hint="eastAsia" w:asciiTheme="minorEastAsia" w:hAnsiTheme="minorEastAsia" w:eastAsiaTheme="minorEastAsia" w:cstheme="minorEastAsia"/>
          <w:b w:val="0"/>
          <w:bCs/>
          <w:sz w:val="24"/>
          <w:szCs w:val="18"/>
        </w:rPr>
        <w:t>节能改造投入的设备，维保涉及的材料、配件费用及人工成本由</w:t>
      </w:r>
      <w:r>
        <w:rPr>
          <w:rFonts w:hint="eastAsia" w:asciiTheme="minorEastAsia" w:hAnsiTheme="minorEastAsia" w:eastAsiaTheme="minorEastAsia" w:cstheme="minorEastAsia"/>
          <w:b w:val="0"/>
          <w:bCs/>
          <w:sz w:val="24"/>
          <w:szCs w:val="18"/>
          <w:lang w:val="en-US" w:eastAsia="zh-CN"/>
        </w:rPr>
        <w:t>中标人</w:t>
      </w:r>
      <w:r>
        <w:rPr>
          <w:rFonts w:hint="eastAsia" w:asciiTheme="minorEastAsia" w:hAnsiTheme="minorEastAsia" w:eastAsiaTheme="minorEastAsia" w:cstheme="minorEastAsia"/>
          <w:b w:val="0"/>
          <w:bCs/>
          <w:sz w:val="24"/>
          <w:szCs w:val="18"/>
        </w:rPr>
        <w:t>负责。空调系统中既有设备或由</w:t>
      </w:r>
      <w:r>
        <w:rPr>
          <w:rFonts w:hint="eastAsia" w:asciiTheme="minorEastAsia" w:hAnsiTheme="minorEastAsia" w:eastAsiaTheme="minorEastAsia" w:cstheme="minorEastAsia"/>
          <w:b w:val="0"/>
          <w:bCs/>
          <w:sz w:val="24"/>
          <w:szCs w:val="18"/>
          <w:lang w:val="en-US" w:eastAsia="zh-CN"/>
        </w:rPr>
        <w:t>采购人</w:t>
      </w:r>
      <w:r>
        <w:rPr>
          <w:rFonts w:hint="eastAsia" w:asciiTheme="minorEastAsia" w:hAnsiTheme="minorEastAsia" w:eastAsiaTheme="minorEastAsia" w:cstheme="minorEastAsia"/>
          <w:b w:val="0"/>
          <w:bCs/>
          <w:sz w:val="24"/>
          <w:szCs w:val="18"/>
        </w:rPr>
        <w:t>采购的设备，维保涉及的材料、配件费用（≥1000元）由</w:t>
      </w:r>
      <w:r>
        <w:rPr>
          <w:rFonts w:hint="eastAsia" w:asciiTheme="minorEastAsia" w:hAnsiTheme="minorEastAsia" w:eastAsiaTheme="minorEastAsia" w:cstheme="minorEastAsia"/>
          <w:b w:val="0"/>
          <w:bCs/>
          <w:sz w:val="24"/>
          <w:szCs w:val="18"/>
          <w:lang w:val="en-US" w:eastAsia="zh-CN"/>
        </w:rPr>
        <w:t>采购人</w:t>
      </w:r>
      <w:r>
        <w:rPr>
          <w:rFonts w:hint="eastAsia" w:asciiTheme="minorEastAsia" w:hAnsiTheme="minorEastAsia" w:eastAsiaTheme="minorEastAsia" w:cstheme="minorEastAsia"/>
          <w:b w:val="0"/>
          <w:bCs/>
          <w:sz w:val="24"/>
          <w:szCs w:val="18"/>
        </w:rPr>
        <w:t>负责采购或委托</w:t>
      </w:r>
      <w:r>
        <w:rPr>
          <w:rFonts w:hint="eastAsia" w:asciiTheme="minorEastAsia" w:hAnsiTheme="minorEastAsia" w:eastAsiaTheme="minorEastAsia" w:cstheme="minorEastAsia"/>
          <w:b w:val="0"/>
          <w:bCs/>
          <w:sz w:val="24"/>
          <w:szCs w:val="18"/>
          <w:lang w:val="en-US" w:eastAsia="zh-CN"/>
        </w:rPr>
        <w:t>中标人</w:t>
      </w:r>
      <w:r>
        <w:rPr>
          <w:rFonts w:hint="eastAsia" w:asciiTheme="minorEastAsia" w:hAnsiTheme="minorEastAsia" w:eastAsiaTheme="minorEastAsia" w:cstheme="minorEastAsia"/>
          <w:b w:val="0"/>
          <w:bCs/>
          <w:sz w:val="24"/>
          <w:szCs w:val="18"/>
        </w:rPr>
        <w:t>采购，1000元以内由</w:t>
      </w:r>
      <w:r>
        <w:rPr>
          <w:rFonts w:hint="eastAsia" w:asciiTheme="minorEastAsia" w:hAnsiTheme="minorEastAsia" w:eastAsiaTheme="minorEastAsia" w:cstheme="minorEastAsia"/>
          <w:b w:val="0"/>
          <w:bCs/>
          <w:sz w:val="24"/>
          <w:szCs w:val="18"/>
          <w:lang w:val="en-US" w:eastAsia="zh-CN"/>
        </w:rPr>
        <w:t>中标人</w:t>
      </w:r>
      <w:r>
        <w:rPr>
          <w:rFonts w:hint="eastAsia" w:asciiTheme="minorEastAsia" w:hAnsiTheme="minorEastAsia" w:eastAsiaTheme="minorEastAsia" w:cstheme="minorEastAsia"/>
          <w:b w:val="0"/>
          <w:bCs/>
          <w:sz w:val="24"/>
          <w:szCs w:val="18"/>
        </w:rPr>
        <w:t>承担相关费用。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18"/>
        </w:rPr>
      </w:pPr>
      <w:r>
        <w:rPr>
          <w:rFonts w:hint="eastAsia" w:asciiTheme="minorEastAsia" w:hAnsiTheme="minorEastAsia" w:eastAsiaTheme="minorEastAsia" w:cstheme="minorEastAsia"/>
          <w:b w:val="0"/>
          <w:bCs/>
          <w:sz w:val="24"/>
          <w:szCs w:val="18"/>
          <w:lang w:val="en-US" w:eastAsia="zh-CN"/>
        </w:rPr>
        <w:t>7</w:t>
      </w:r>
      <w:r>
        <w:rPr>
          <w:rFonts w:hint="eastAsia" w:asciiTheme="minorEastAsia" w:hAnsiTheme="minorEastAsia" w:eastAsiaTheme="minorEastAsia" w:cstheme="minorEastAsia"/>
          <w:b w:val="0"/>
          <w:bCs/>
          <w:sz w:val="24"/>
          <w:szCs w:val="18"/>
        </w:rPr>
        <w:t>、安全责任：</w:t>
      </w:r>
      <w:r>
        <w:rPr>
          <w:rFonts w:hint="eastAsia" w:asciiTheme="minorEastAsia" w:hAnsiTheme="minorEastAsia" w:eastAsiaTheme="minorEastAsia" w:cstheme="minorEastAsia"/>
          <w:b w:val="0"/>
          <w:bCs/>
          <w:sz w:val="24"/>
          <w:szCs w:val="18"/>
          <w:lang w:val="en-US" w:eastAsia="zh-CN"/>
        </w:rPr>
        <w:t>中标人</w:t>
      </w:r>
      <w:r>
        <w:rPr>
          <w:rFonts w:hint="eastAsia" w:asciiTheme="minorEastAsia" w:hAnsiTheme="minorEastAsia" w:eastAsiaTheme="minorEastAsia" w:cstheme="minorEastAsia"/>
          <w:b w:val="0"/>
          <w:bCs/>
          <w:sz w:val="24"/>
          <w:szCs w:val="18"/>
        </w:rPr>
        <w:t>需保证施工及资产和人员安全，做好相应的安全工作，托管期内出现的相关安全事故由</w:t>
      </w:r>
      <w:r>
        <w:rPr>
          <w:rFonts w:hint="eastAsia" w:asciiTheme="minorEastAsia" w:hAnsiTheme="minorEastAsia" w:eastAsiaTheme="minorEastAsia" w:cstheme="minorEastAsia"/>
          <w:b w:val="0"/>
          <w:bCs/>
          <w:sz w:val="24"/>
          <w:szCs w:val="18"/>
          <w:lang w:val="en-US" w:eastAsia="zh-CN"/>
        </w:rPr>
        <w:t>中标人</w:t>
      </w:r>
      <w:r>
        <w:rPr>
          <w:rFonts w:hint="eastAsia" w:asciiTheme="minorEastAsia" w:hAnsiTheme="minorEastAsia" w:eastAsiaTheme="minorEastAsia" w:cstheme="minorEastAsia"/>
          <w:b w:val="0"/>
          <w:bCs/>
          <w:sz w:val="24"/>
          <w:szCs w:val="18"/>
        </w:rPr>
        <w:t>自行负责；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18"/>
        </w:rPr>
      </w:pPr>
      <w:r>
        <w:rPr>
          <w:rFonts w:hint="eastAsia" w:asciiTheme="minorEastAsia" w:hAnsiTheme="minorEastAsia" w:eastAsiaTheme="minorEastAsia" w:cstheme="minorEastAsia"/>
          <w:b w:val="0"/>
          <w:bCs/>
          <w:sz w:val="24"/>
          <w:szCs w:val="18"/>
          <w:lang w:val="en-US" w:eastAsia="zh-CN"/>
        </w:rPr>
        <w:t>8</w:t>
      </w:r>
      <w:r>
        <w:rPr>
          <w:rFonts w:hint="eastAsia" w:asciiTheme="minorEastAsia" w:hAnsiTheme="minorEastAsia" w:eastAsiaTheme="minorEastAsia" w:cstheme="minorEastAsia"/>
          <w:b w:val="0"/>
          <w:bCs/>
          <w:sz w:val="24"/>
          <w:szCs w:val="18"/>
        </w:rPr>
        <w:t>、</w:t>
      </w:r>
      <w:r>
        <w:rPr>
          <w:rFonts w:hint="eastAsia" w:asciiTheme="minorEastAsia" w:hAnsiTheme="minorEastAsia" w:eastAsiaTheme="minorEastAsia" w:cstheme="minorEastAsia"/>
          <w:b w:val="0"/>
          <w:bCs/>
          <w:sz w:val="24"/>
          <w:szCs w:val="18"/>
          <w:lang w:val="en-US" w:eastAsia="zh-CN"/>
        </w:rPr>
        <w:t>合同签订后，中标人</w:t>
      </w:r>
      <w:r>
        <w:rPr>
          <w:rFonts w:hint="eastAsia" w:asciiTheme="minorEastAsia" w:hAnsiTheme="minorEastAsia" w:eastAsiaTheme="minorEastAsia" w:cstheme="minorEastAsia"/>
          <w:b w:val="0"/>
          <w:bCs/>
          <w:sz w:val="24"/>
          <w:szCs w:val="18"/>
        </w:rPr>
        <w:t>须充分考虑施工噪音、材料运送、拆除及垃圾外运等施工所需的全部工作内容，所需费用包含在</w:t>
      </w:r>
      <w:r>
        <w:rPr>
          <w:rFonts w:hint="eastAsia" w:asciiTheme="minorEastAsia" w:hAnsiTheme="minorEastAsia" w:eastAsiaTheme="minorEastAsia" w:cstheme="minorEastAsia"/>
          <w:b w:val="0"/>
          <w:bCs/>
          <w:sz w:val="24"/>
          <w:szCs w:val="18"/>
          <w:lang w:val="en-US" w:eastAsia="zh-CN"/>
        </w:rPr>
        <w:t>报价</w:t>
      </w:r>
      <w:r>
        <w:rPr>
          <w:rFonts w:hint="eastAsia" w:asciiTheme="minorEastAsia" w:hAnsiTheme="minorEastAsia" w:eastAsiaTheme="minorEastAsia" w:cstheme="minorEastAsia"/>
          <w:b w:val="0"/>
          <w:bCs/>
          <w:sz w:val="24"/>
          <w:szCs w:val="18"/>
        </w:rPr>
        <w:t>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18"/>
        </w:rPr>
      </w:pPr>
      <w:r>
        <w:rPr>
          <w:rFonts w:hint="eastAsia" w:asciiTheme="minorEastAsia" w:hAnsiTheme="minorEastAsia" w:eastAsiaTheme="minorEastAsia" w:cstheme="minorEastAsia"/>
          <w:b w:val="0"/>
          <w:bCs/>
          <w:sz w:val="24"/>
          <w:szCs w:val="18"/>
          <w:lang w:val="en-US" w:eastAsia="zh-CN"/>
        </w:rPr>
        <w:t>9</w:t>
      </w:r>
      <w:r>
        <w:rPr>
          <w:rFonts w:hint="eastAsia" w:asciiTheme="minorEastAsia" w:hAnsiTheme="minorEastAsia" w:eastAsiaTheme="minorEastAsia" w:cstheme="minorEastAsia"/>
          <w:b w:val="0"/>
          <w:bCs/>
          <w:sz w:val="24"/>
          <w:szCs w:val="18"/>
        </w:rPr>
        <w:t>、</w:t>
      </w:r>
      <w:r>
        <w:rPr>
          <w:rFonts w:hint="eastAsia" w:asciiTheme="minorEastAsia" w:hAnsiTheme="minorEastAsia" w:eastAsiaTheme="minorEastAsia" w:cstheme="minorEastAsia"/>
          <w:b w:val="0"/>
          <w:bCs/>
          <w:sz w:val="24"/>
          <w:szCs w:val="18"/>
          <w:lang w:val="en-US" w:eastAsia="zh-CN"/>
        </w:rPr>
        <w:t>采购人</w:t>
      </w:r>
      <w:r>
        <w:rPr>
          <w:rFonts w:hint="eastAsia" w:asciiTheme="minorEastAsia" w:hAnsiTheme="minorEastAsia" w:eastAsiaTheme="minorEastAsia" w:cstheme="minorEastAsia"/>
          <w:b w:val="0"/>
          <w:bCs/>
          <w:sz w:val="24"/>
          <w:szCs w:val="18"/>
        </w:rPr>
        <w:t>配合</w:t>
      </w:r>
      <w:r>
        <w:rPr>
          <w:rFonts w:hint="eastAsia" w:asciiTheme="minorEastAsia" w:hAnsiTheme="minorEastAsia" w:eastAsiaTheme="minorEastAsia" w:cstheme="minorEastAsia"/>
          <w:b w:val="0"/>
          <w:bCs/>
          <w:sz w:val="24"/>
          <w:szCs w:val="18"/>
          <w:lang w:val="en-US" w:eastAsia="zh-CN"/>
        </w:rPr>
        <w:t>中标人</w:t>
      </w:r>
      <w:r>
        <w:rPr>
          <w:rFonts w:hint="eastAsia" w:asciiTheme="minorEastAsia" w:hAnsiTheme="minorEastAsia" w:eastAsiaTheme="minorEastAsia" w:cstheme="minorEastAsia"/>
          <w:b w:val="0"/>
          <w:bCs/>
          <w:sz w:val="24"/>
          <w:szCs w:val="18"/>
        </w:rPr>
        <w:t>完成与供电公司、供水公司等能源公司签订的第三方代缴费服务协议，由</w:t>
      </w:r>
      <w:r>
        <w:rPr>
          <w:rFonts w:hint="eastAsia" w:asciiTheme="minorEastAsia" w:hAnsiTheme="minorEastAsia" w:eastAsiaTheme="minorEastAsia" w:cstheme="minorEastAsia"/>
          <w:b w:val="0"/>
          <w:bCs/>
          <w:sz w:val="24"/>
          <w:szCs w:val="18"/>
          <w:lang w:val="en-US" w:eastAsia="zh-CN"/>
        </w:rPr>
        <w:t>中标人</w:t>
      </w:r>
      <w:r>
        <w:rPr>
          <w:rFonts w:hint="eastAsia" w:asciiTheme="minorEastAsia" w:hAnsiTheme="minorEastAsia" w:eastAsiaTheme="minorEastAsia" w:cstheme="minorEastAsia"/>
          <w:b w:val="0"/>
          <w:bCs/>
          <w:sz w:val="24"/>
          <w:szCs w:val="18"/>
        </w:rPr>
        <w:t>向能源公司缴纳相关能源费用。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sz w:val="24"/>
          <w:szCs w:val="18"/>
          <w:lang w:val="en-US" w:eastAsia="zh-CN"/>
        </w:rPr>
        <w:t>10、中标人须服从国家水、电管理部门的管理，如出现超计划现象由中标人承担相应处罚。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18"/>
          <w:lang w:val="en-US" w:eastAsia="zh-CN"/>
        </w:rPr>
      </w:pPr>
      <w:r>
        <w:rPr>
          <w:rFonts w:hint="eastAsia" w:asciiTheme="minorEastAsia" w:hAnsiTheme="minorEastAsia" w:eastAsiaTheme="minorEastAsia" w:cstheme="minorEastAsia"/>
          <w:b w:val="0"/>
          <w:bCs/>
          <w:sz w:val="24"/>
          <w:szCs w:val="18"/>
          <w:lang w:val="en-US" w:eastAsia="zh-CN"/>
        </w:rPr>
        <w:t>11、附：能源托管考评表</w:t>
      </w:r>
    </w:p>
    <w:tbl>
      <w:tblPr>
        <w:tblStyle w:val="16"/>
        <w:tblW w:w="5315" w:type="pct"/>
        <w:jc w:val="center"/>
        <w:tblLayout w:type="fixed"/>
        <w:tblCellMar>
          <w:top w:w="0" w:type="dxa"/>
          <w:left w:w="0" w:type="dxa"/>
          <w:bottom w:w="0" w:type="dxa"/>
          <w:right w:w="0" w:type="dxa"/>
        </w:tblCellMar>
      </w:tblPr>
      <w:tblGrid>
        <w:gridCol w:w="526"/>
        <w:gridCol w:w="845"/>
        <w:gridCol w:w="4880"/>
        <w:gridCol w:w="869"/>
        <w:gridCol w:w="1229"/>
        <w:gridCol w:w="516"/>
      </w:tblGrid>
      <w:tr>
        <w:tblPrEx>
          <w:tblCellMar>
            <w:top w:w="0" w:type="dxa"/>
            <w:left w:w="0" w:type="dxa"/>
            <w:bottom w:w="0" w:type="dxa"/>
            <w:right w:w="0" w:type="dxa"/>
          </w:tblCellMar>
        </w:tblPrEx>
        <w:trPr>
          <w:trHeight w:val="628" w:hRule="atLeast"/>
          <w:jc w:val="center"/>
        </w:trPr>
        <w:tc>
          <w:tcPr>
            <w:tcW w:w="5000" w:type="pct"/>
            <w:gridSpan w:val="6"/>
            <w:tcBorders>
              <w:top w:val="nil"/>
              <w:left w:val="nil"/>
              <w:bottom w:val="nil"/>
              <w:right w:val="nil"/>
            </w:tcBorders>
            <w:noWrap/>
            <w:tcMar>
              <w:top w:w="17" w:type="dxa"/>
              <w:left w:w="17" w:type="dxa"/>
              <w:right w:w="17" w:type="dxa"/>
            </w:tcMar>
            <w:vAlign w:val="center"/>
          </w:tcPr>
          <w:p>
            <w:pPr>
              <w:widowControl w:val="0"/>
              <w:kinsoku/>
              <w:autoSpaceDE/>
              <w:autoSpaceDN/>
              <w:adjustRightInd/>
              <w:snapToGrid/>
              <w:spacing w:line="360" w:lineRule="auto"/>
              <w:jc w:val="center"/>
              <w:textAlignment w:val="auto"/>
              <w:rPr>
                <w:rFonts w:hint="eastAsia" w:asciiTheme="minorEastAsia" w:hAnsiTheme="minorEastAsia" w:eastAsiaTheme="minorEastAsia" w:cstheme="minorEastAsia"/>
                <w:b/>
                <w:snapToGrid/>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rPr>
              <w:t>能源托管单位考评表</w:t>
            </w:r>
          </w:p>
        </w:tc>
      </w:tr>
      <w:tr>
        <w:tblPrEx>
          <w:tblCellMar>
            <w:top w:w="0" w:type="dxa"/>
            <w:left w:w="0" w:type="dxa"/>
            <w:bottom w:w="0" w:type="dxa"/>
            <w:right w:w="0" w:type="dxa"/>
          </w:tblCellMar>
        </w:tblPrEx>
        <w:trPr>
          <w:trHeight w:val="388" w:hRule="atLeast"/>
          <w:jc w:val="center"/>
        </w:trPr>
        <w:tc>
          <w:tcPr>
            <w:tcW w:w="5000" w:type="pct"/>
            <w:gridSpan w:val="6"/>
            <w:tcBorders>
              <w:top w:val="nil"/>
              <w:left w:val="nil"/>
              <w:bottom w:val="nil"/>
              <w:right w:val="nil"/>
            </w:tcBorders>
            <w:noWrap/>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b/>
                <w:snapToGrid/>
                <w:kern w:val="2"/>
                <w:sz w:val="24"/>
                <w:szCs w:val="24"/>
                <w:highlight w:val="none"/>
              </w:rPr>
            </w:pPr>
            <w:r>
              <w:rPr>
                <w:rFonts w:hint="eastAsia" w:asciiTheme="minorEastAsia" w:hAnsiTheme="minorEastAsia" w:eastAsiaTheme="minorEastAsia" w:cstheme="minorEastAsia"/>
                <w:b/>
                <w:snapToGrid/>
                <w:sz w:val="24"/>
                <w:szCs w:val="24"/>
                <w:highlight w:val="none"/>
                <w:lang w:bidi="ar"/>
              </w:rPr>
              <w:t xml:space="preserve">被考核人：                                          考核总分：  </w:t>
            </w:r>
          </w:p>
        </w:tc>
      </w:tr>
      <w:tr>
        <w:tblPrEx>
          <w:tblCellMar>
            <w:top w:w="0" w:type="dxa"/>
            <w:left w:w="0" w:type="dxa"/>
            <w:bottom w:w="0" w:type="dxa"/>
            <w:right w:w="0" w:type="dxa"/>
          </w:tblCellMar>
        </w:tblPrEx>
        <w:trPr>
          <w:trHeight w:val="388" w:hRule="atLeast"/>
          <w:jc w:val="center"/>
        </w:trPr>
        <w:tc>
          <w:tcPr>
            <w:tcW w:w="5000" w:type="pct"/>
            <w:gridSpan w:val="6"/>
            <w:tcBorders>
              <w:top w:val="nil"/>
              <w:left w:val="nil"/>
              <w:bottom w:val="nil"/>
              <w:right w:val="nil"/>
            </w:tcBorders>
            <w:noWrap/>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b/>
                <w:snapToGrid/>
                <w:sz w:val="24"/>
                <w:szCs w:val="24"/>
                <w:highlight w:val="none"/>
                <w:lang w:bidi="ar"/>
              </w:rPr>
            </w:pPr>
            <w:r>
              <w:rPr>
                <w:rFonts w:hint="eastAsia" w:asciiTheme="minorEastAsia" w:hAnsiTheme="minorEastAsia" w:eastAsiaTheme="minorEastAsia" w:cstheme="minorEastAsia"/>
                <w:b/>
                <w:snapToGrid/>
                <w:sz w:val="24"/>
                <w:szCs w:val="24"/>
                <w:highlight w:val="none"/>
                <w:lang w:bidi="ar"/>
              </w:rPr>
              <w:t>托管范围：</w:t>
            </w:r>
            <w:r>
              <w:rPr>
                <w:rFonts w:hint="eastAsia" w:asciiTheme="minorEastAsia" w:hAnsiTheme="minorEastAsia" w:eastAsiaTheme="minorEastAsia" w:cstheme="minorEastAsia"/>
                <w:bCs/>
                <w:snapToGrid/>
                <w:sz w:val="24"/>
                <w:szCs w:val="24"/>
                <w:highlight w:val="none"/>
                <w:lang w:val="en-US" w:eastAsia="zh-CN" w:bidi="ar"/>
              </w:rPr>
              <w:t>合肥市</w:t>
            </w:r>
            <w:r>
              <w:rPr>
                <w:rFonts w:hint="eastAsia" w:asciiTheme="minorEastAsia" w:hAnsiTheme="minorEastAsia" w:eastAsiaTheme="minorEastAsia" w:cstheme="minorEastAsia"/>
                <w:bCs/>
                <w:snapToGrid/>
                <w:sz w:val="24"/>
                <w:szCs w:val="24"/>
                <w:highlight w:val="none"/>
                <w:lang w:bidi="ar"/>
              </w:rPr>
              <w:t>妇幼保健院中心院区用电、用水、空调的供冷与供暖、配电房维护及巡检。</w:t>
            </w:r>
          </w:p>
        </w:tc>
      </w:tr>
      <w:tr>
        <w:tblPrEx>
          <w:tblCellMar>
            <w:top w:w="0" w:type="dxa"/>
            <w:left w:w="0" w:type="dxa"/>
            <w:bottom w:w="0" w:type="dxa"/>
            <w:right w:w="0" w:type="dxa"/>
          </w:tblCellMar>
        </w:tblPrEx>
        <w:trPr>
          <w:trHeight w:val="388" w:hRule="atLeast"/>
          <w:jc w:val="center"/>
        </w:trPr>
        <w:tc>
          <w:tcPr>
            <w:tcW w:w="5000" w:type="pct"/>
            <w:gridSpan w:val="6"/>
            <w:tcBorders>
              <w:top w:val="nil"/>
              <w:left w:val="nil"/>
              <w:bottom w:val="nil"/>
              <w:right w:val="nil"/>
            </w:tcBorders>
            <w:noWrap/>
            <w:tcMar>
              <w:top w:w="17" w:type="dxa"/>
              <w:left w:w="17" w:type="dxa"/>
              <w:right w:w="17" w:type="dxa"/>
            </w:tcMar>
            <w:vAlign w:val="center"/>
          </w:tcPr>
          <w:p>
            <w:pPr>
              <w:kinsoku/>
              <w:autoSpaceDE/>
              <w:autoSpaceDN/>
              <w:adjustRightInd/>
              <w:snapToGrid/>
              <w:ind w:left="1060" w:hanging="1212" w:hangingChars="503"/>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b/>
                <w:snapToGrid/>
                <w:sz w:val="24"/>
                <w:szCs w:val="24"/>
                <w:highlight w:val="none"/>
                <w:lang w:bidi="ar"/>
              </w:rPr>
              <w:t>托管原则：</w:t>
            </w:r>
            <w:r>
              <w:rPr>
                <w:rFonts w:hint="eastAsia" w:asciiTheme="minorEastAsia" w:hAnsiTheme="minorEastAsia" w:eastAsiaTheme="minorEastAsia" w:cstheme="minorEastAsia"/>
                <w:snapToGrid/>
                <w:sz w:val="24"/>
                <w:szCs w:val="24"/>
                <w:highlight w:val="none"/>
                <w:lang w:bidi="ar"/>
              </w:rPr>
              <w:t>1、服从</w:t>
            </w:r>
            <w:r>
              <w:rPr>
                <w:rFonts w:hint="eastAsia" w:asciiTheme="minorEastAsia" w:hAnsiTheme="minorEastAsia" w:eastAsiaTheme="minorEastAsia" w:cstheme="minorEastAsia"/>
                <w:snapToGrid/>
                <w:sz w:val="24"/>
                <w:szCs w:val="24"/>
                <w:highlight w:val="none"/>
                <w:lang w:val="en-US" w:eastAsia="zh-CN" w:bidi="ar"/>
              </w:rPr>
              <w:t>采购人</w:t>
            </w:r>
            <w:r>
              <w:rPr>
                <w:rFonts w:hint="eastAsia" w:asciiTheme="minorEastAsia" w:hAnsiTheme="minorEastAsia" w:eastAsiaTheme="minorEastAsia" w:cstheme="minorEastAsia"/>
                <w:snapToGrid/>
                <w:sz w:val="24"/>
                <w:szCs w:val="24"/>
                <w:highlight w:val="none"/>
                <w:lang w:bidi="ar"/>
              </w:rPr>
              <w:t>日常管理，不降低</w:t>
            </w:r>
            <w:r>
              <w:rPr>
                <w:rFonts w:hint="eastAsia" w:asciiTheme="minorEastAsia" w:hAnsiTheme="minorEastAsia" w:eastAsiaTheme="minorEastAsia" w:cstheme="minorEastAsia"/>
                <w:snapToGrid/>
                <w:sz w:val="24"/>
                <w:szCs w:val="24"/>
                <w:highlight w:val="none"/>
                <w:lang w:val="en-US" w:eastAsia="zh-CN" w:bidi="ar"/>
              </w:rPr>
              <w:t>医院</w:t>
            </w:r>
            <w:r>
              <w:rPr>
                <w:rFonts w:hint="eastAsia" w:asciiTheme="minorEastAsia" w:hAnsiTheme="minorEastAsia" w:eastAsiaTheme="minorEastAsia" w:cstheme="minorEastAsia"/>
                <w:snapToGrid/>
                <w:sz w:val="24"/>
                <w:szCs w:val="24"/>
                <w:highlight w:val="none"/>
                <w:lang w:bidi="ar"/>
              </w:rPr>
              <w:t>正常临床生产使用标准。</w:t>
            </w:r>
          </w:p>
          <w:p>
            <w:pPr>
              <w:kinsoku/>
              <w:autoSpaceDE/>
              <w:autoSpaceDN/>
              <w:adjustRightInd/>
              <w:snapToGrid/>
              <w:textAlignment w:val="center"/>
              <w:rPr>
                <w:rFonts w:hint="eastAsia" w:asciiTheme="minorEastAsia" w:hAnsiTheme="minorEastAsia" w:eastAsiaTheme="minorEastAsia" w:cstheme="minorEastAsia"/>
                <w:b/>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2、</w:t>
            </w:r>
            <w:r>
              <w:rPr>
                <w:rFonts w:hint="eastAsia" w:asciiTheme="minorEastAsia" w:hAnsiTheme="minorEastAsia" w:eastAsiaTheme="minorEastAsia" w:cstheme="minorEastAsia"/>
                <w:snapToGrid/>
                <w:sz w:val="24"/>
                <w:szCs w:val="24"/>
                <w:highlight w:val="none"/>
                <w:lang w:val="en-US" w:eastAsia="zh-CN" w:bidi="ar"/>
              </w:rPr>
              <w:t>中标人</w:t>
            </w:r>
            <w:r>
              <w:rPr>
                <w:rFonts w:hint="eastAsia" w:asciiTheme="minorEastAsia" w:hAnsiTheme="minorEastAsia" w:eastAsiaTheme="minorEastAsia" w:cstheme="minorEastAsia"/>
                <w:snapToGrid/>
                <w:sz w:val="24"/>
                <w:szCs w:val="24"/>
                <w:highlight w:val="none"/>
                <w:lang w:bidi="ar"/>
              </w:rPr>
              <w:t>运用节能产品、节能技术及节能意识提高能源利用效率，减少能源浪费，降低能耗。</w:t>
            </w:r>
          </w:p>
        </w:tc>
      </w:tr>
      <w:tr>
        <w:tblPrEx>
          <w:tblCellMar>
            <w:top w:w="0" w:type="dxa"/>
            <w:left w:w="0" w:type="dxa"/>
            <w:bottom w:w="0" w:type="dxa"/>
            <w:right w:w="0" w:type="dxa"/>
          </w:tblCellMar>
        </w:tblPrEx>
        <w:trPr>
          <w:trHeight w:val="315" w:hRule="atLeast"/>
          <w:jc w:val="center"/>
        </w:trPr>
        <w:tc>
          <w:tcPr>
            <w:tcW w:w="297" w:type="pct"/>
            <w:vMerge w:val="restart"/>
            <w:tcBorders>
              <w:top w:val="single" w:color="000000" w:sz="8" w:space="0"/>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b/>
                <w:snapToGrid/>
                <w:kern w:val="2"/>
                <w:sz w:val="24"/>
                <w:szCs w:val="24"/>
                <w:highlight w:val="none"/>
              </w:rPr>
            </w:pPr>
            <w:r>
              <w:rPr>
                <w:rFonts w:hint="eastAsia" w:asciiTheme="minorEastAsia" w:hAnsiTheme="minorEastAsia" w:eastAsiaTheme="minorEastAsia" w:cstheme="minorEastAsia"/>
                <w:b/>
                <w:snapToGrid/>
                <w:sz w:val="24"/>
                <w:szCs w:val="24"/>
                <w:highlight w:val="none"/>
                <w:lang w:bidi="ar"/>
              </w:rPr>
              <w:t>序号</w:t>
            </w:r>
          </w:p>
        </w:tc>
        <w:tc>
          <w:tcPr>
            <w:tcW w:w="477" w:type="pct"/>
            <w:vMerge w:val="restart"/>
            <w:tcBorders>
              <w:top w:val="single" w:color="000000" w:sz="8" w:space="0"/>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b/>
                <w:snapToGrid/>
                <w:kern w:val="2"/>
                <w:sz w:val="24"/>
                <w:szCs w:val="24"/>
                <w:highlight w:val="none"/>
              </w:rPr>
            </w:pPr>
            <w:r>
              <w:rPr>
                <w:rFonts w:hint="eastAsia" w:asciiTheme="minorEastAsia" w:hAnsiTheme="minorEastAsia" w:eastAsiaTheme="minorEastAsia" w:cstheme="minorEastAsia"/>
                <w:b/>
                <w:snapToGrid/>
                <w:sz w:val="24"/>
                <w:szCs w:val="24"/>
                <w:highlight w:val="none"/>
                <w:lang w:bidi="ar"/>
              </w:rPr>
              <w:t>内容</w:t>
            </w:r>
          </w:p>
        </w:tc>
        <w:tc>
          <w:tcPr>
            <w:tcW w:w="2752" w:type="pct"/>
            <w:vMerge w:val="restart"/>
            <w:tcBorders>
              <w:top w:val="single" w:color="000000" w:sz="8" w:space="0"/>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b/>
                <w:snapToGrid/>
                <w:kern w:val="2"/>
                <w:sz w:val="24"/>
                <w:szCs w:val="24"/>
                <w:highlight w:val="none"/>
              </w:rPr>
            </w:pPr>
            <w:r>
              <w:rPr>
                <w:rFonts w:hint="eastAsia" w:asciiTheme="minorEastAsia" w:hAnsiTheme="minorEastAsia" w:eastAsiaTheme="minorEastAsia" w:cstheme="minorEastAsia"/>
                <w:b/>
                <w:snapToGrid/>
                <w:sz w:val="24"/>
                <w:szCs w:val="24"/>
                <w:highlight w:val="none"/>
                <w:lang w:bidi="ar"/>
              </w:rPr>
              <w:t>标  准</w:t>
            </w:r>
          </w:p>
        </w:tc>
        <w:tc>
          <w:tcPr>
            <w:tcW w:w="490" w:type="pct"/>
            <w:tcBorders>
              <w:top w:val="single" w:color="000000" w:sz="8" w:space="0"/>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b/>
                <w:snapToGrid/>
                <w:kern w:val="2"/>
                <w:sz w:val="24"/>
                <w:szCs w:val="24"/>
                <w:highlight w:val="none"/>
              </w:rPr>
            </w:pPr>
            <w:r>
              <w:rPr>
                <w:rFonts w:hint="eastAsia" w:asciiTheme="minorEastAsia" w:hAnsiTheme="minorEastAsia" w:eastAsiaTheme="minorEastAsia" w:cstheme="minorEastAsia"/>
                <w:b/>
                <w:snapToGrid/>
                <w:sz w:val="24"/>
                <w:szCs w:val="24"/>
                <w:highlight w:val="none"/>
                <w:lang w:bidi="ar"/>
              </w:rPr>
              <w:t>分值</w:t>
            </w:r>
          </w:p>
        </w:tc>
        <w:tc>
          <w:tcPr>
            <w:tcW w:w="693" w:type="pct"/>
            <w:vMerge w:val="restart"/>
            <w:tcBorders>
              <w:top w:val="single" w:color="000000" w:sz="8" w:space="0"/>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b/>
                <w:snapToGrid/>
                <w:kern w:val="2"/>
                <w:sz w:val="24"/>
                <w:szCs w:val="24"/>
                <w:highlight w:val="none"/>
              </w:rPr>
            </w:pPr>
            <w:r>
              <w:rPr>
                <w:rFonts w:hint="eastAsia" w:asciiTheme="minorEastAsia" w:hAnsiTheme="minorEastAsia" w:eastAsiaTheme="minorEastAsia" w:cstheme="minorEastAsia"/>
                <w:b/>
                <w:snapToGrid/>
                <w:sz w:val="24"/>
                <w:szCs w:val="24"/>
                <w:highlight w:val="none"/>
                <w:lang w:bidi="ar"/>
              </w:rPr>
              <w:t>评分细则</w:t>
            </w:r>
          </w:p>
        </w:tc>
        <w:tc>
          <w:tcPr>
            <w:tcW w:w="288" w:type="pct"/>
            <w:vMerge w:val="restart"/>
            <w:tcBorders>
              <w:top w:val="single" w:color="000000" w:sz="8" w:space="0"/>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b/>
                <w:snapToGrid/>
                <w:kern w:val="2"/>
                <w:sz w:val="24"/>
                <w:szCs w:val="24"/>
                <w:highlight w:val="none"/>
              </w:rPr>
            </w:pPr>
            <w:r>
              <w:rPr>
                <w:rFonts w:hint="eastAsia" w:asciiTheme="minorEastAsia" w:hAnsiTheme="minorEastAsia" w:eastAsiaTheme="minorEastAsia" w:cstheme="minorEastAsia"/>
                <w:b/>
                <w:snapToGrid/>
                <w:sz w:val="24"/>
                <w:szCs w:val="24"/>
                <w:highlight w:val="none"/>
                <w:lang w:bidi="ar"/>
              </w:rPr>
              <w:t>得分</w:t>
            </w:r>
          </w:p>
        </w:tc>
      </w:tr>
      <w:tr>
        <w:tblPrEx>
          <w:tblCellMar>
            <w:top w:w="0" w:type="dxa"/>
            <w:left w:w="0" w:type="dxa"/>
            <w:bottom w:w="0" w:type="dxa"/>
            <w:right w:w="0" w:type="dxa"/>
          </w:tblCellMar>
        </w:tblPrEx>
        <w:trPr>
          <w:trHeight w:val="461" w:hRule="atLeast"/>
          <w:jc w:val="center"/>
        </w:trPr>
        <w:tc>
          <w:tcPr>
            <w:tcW w:w="297" w:type="pct"/>
            <w:vMerge w:val="continue"/>
            <w:tcBorders>
              <w:top w:val="single" w:color="000000" w:sz="8" w:space="0"/>
              <w:left w:val="single" w:color="000000" w:sz="8" w:space="0"/>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b/>
                <w:snapToGrid/>
                <w:kern w:val="2"/>
                <w:sz w:val="24"/>
                <w:szCs w:val="24"/>
                <w:highlight w:val="none"/>
              </w:rPr>
            </w:pPr>
          </w:p>
        </w:tc>
        <w:tc>
          <w:tcPr>
            <w:tcW w:w="477" w:type="pct"/>
            <w:vMerge w:val="continue"/>
            <w:tcBorders>
              <w:top w:val="single" w:color="000000" w:sz="8" w:space="0"/>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b/>
                <w:snapToGrid/>
                <w:kern w:val="2"/>
                <w:sz w:val="24"/>
                <w:szCs w:val="24"/>
                <w:highlight w:val="none"/>
              </w:rPr>
            </w:pPr>
          </w:p>
        </w:tc>
        <w:tc>
          <w:tcPr>
            <w:tcW w:w="2752" w:type="pct"/>
            <w:vMerge w:val="continue"/>
            <w:tcBorders>
              <w:top w:val="single" w:color="000000" w:sz="8" w:space="0"/>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b/>
                <w:snapToGrid/>
                <w:kern w:val="2"/>
                <w:sz w:val="24"/>
                <w:szCs w:val="24"/>
                <w:highlight w:val="none"/>
              </w:rPr>
            </w:pP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b/>
                <w:snapToGrid/>
                <w:kern w:val="2"/>
                <w:sz w:val="24"/>
                <w:szCs w:val="24"/>
                <w:highlight w:val="none"/>
              </w:rPr>
            </w:pPr>
            <w:r>
              <w:rPr>
                <w:rFonts w:hint="eastAsia" w:asciiTheme="minorEastAsia" w:hAnsiTheme="minorEastAsia" w:eastAsiaTheme="minorEastAsia" w:cstheme="minorEastAsia"/>
                <w:b/>
                <w:snapToGrid/>
                <w:sz w:val="24"/>
                <w:szCs w:val="24"/>
                <w:highlight w:val="none"/>
                <w:lang w:bidi="ar"/>
              </w:rPr>
              <w:t>(100分)</w:t>
            </w:r>
          </w:p>
        </w:tc>
        <w:tc>
          <w:tcPr>
            <w:tcW w:w="693" w:type="pct"/>
            <w:vMerge w:val="continue"/>
            <w:tcBorders>
              <w:top w:val="single" w:color="000000" w:sz="8" w:space="0"/>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b/>
                <w:snapToGrid/>
                <w:kern w:val="2"/>
                <w:sz w:val="24"/>
                <w:szCs w:val="24"/>
                <w:highlight w:val="none"/>
              </w:rPr>
            </w:pPr>
          </w:p>
        </w:tc>
        <w:tc>
          <w:tcPr>
            <w:tcW w:w="288" w:type="pct"/>
            <w:vMerge w:val="continue"/>
            <w:tcBorders>
              <w:top w:val="single" w:color="000000" w:sz="8" w:space="0"/>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b/>
                <w:snapToGrid/>
                <w:kern w:val="2"/>
                <w:sz w:val="24"/>
                <w:szCs w:val="24"/>
                <w:highlight w:val="none"/>
              </w:rPr>
            </w:pPr>
          </w:p>
        </w:tc>
      </w:tr>
      <w:tr>
        <w:tblPrEx>
          <w:tblCellMar>
            <w:top w:w="0" w:type="dxa"/>
            <w:left w:w="0" w:type="dxa"/>
            <w:bottom w:w="0" w:type="dxa"/>
            <w:right w:w="0" w:type="dxa"/>
          </w:tblCellMar>
        </w:tblPrEx>
        <w:trPr>
          <w:trHeight w:val="818"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1</w:t>
            </w:r>
          </w:p>
        </w:tc>
        <w:tc>
          <w:tcPr>
            <w:tcW w:w="477" w:type="pct"/>
            <w:vMerge w:val="restar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岗前</w:t>
            </w:r>
          </w:p>
          <w:p>
            <w:pPr>
              <w:kinsoku/>
              <w:autoSpaceDE/>
              <w:autoSpaceDN/>
              <w:adjustRightInd/>
              <w:snapToGrid/>
              <w:jc w:val="center"/>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工作</w:t>
            </w:r>
          </w:p>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标准</w:t>
            </w: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坚守工作岗位，统一着装，提高个人素质，提高个人形象。不离岗，不脱岗，严格遵守各项制度。持证上岗，每周开展一次对托管设施、设备的巡查并记录。</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3</w:t>
            </w:r>
          </w:p>
        </w:tc>
        <w:tc>
          <w:tcPr>
            <w:tcW w:w="693"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w:t>
            </w:r>
            <w:r>
              <w:rPr>
                <w:rFonts w:hint="eastAsia" w:asciiTheme="minorEastAsia" w:hAnsiTheme="minorEastAsia" w:eastAsiaTheme="minorEastAsia" w:cstheme="minorEastAsia"/>
                <w:snapToGrid/>
                <w:kern w:val="2"/>
                <w:sz w:val="24"/>
                <w:szCs w:val="24"/>
                <w:highlight w:val="none"/>
                <w:lang w:bidi="ar"/>
              </w:rPr>
              <w:t>3，基本符合2，不符合0。</w:t>
            </w:r>
          </w:p>
        </w:tc>
        <w:tc>
          <w:tcPr>
            <w:tcW w:w="288" w:type="pct"/>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620"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2</w:t>
            </w:r>
          </w:p>
        </w:tc>
        <w:tc>
          <w:tcPr>
            <w:tcW w:w="477" w:type="pct"/>
            <w:vMerge w:val="continue"/>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托管单位运行人员进驻</w:t>
            </w:r>
            <w:r>
              <w:rPr>
                <w:rFonts w:hint="eastAsia" w:asciiTheme="minorEastAsia" w:hAnsiTheme="minorEastAsia" w:eastAsiaTheme="minorEastAsia" w:cstheme="minorEastAsia"/>
                <w:snapToGrid/>
                <w:sz w:val="24"/>
                <w:szCs w:val="24"/>
                <w:highlight w:val="none"/>
                <w:lang w:val="en-US" w:eastAsia="zh-CN" w:bidi="ar"/>
              </w:rPr>
              <w:t>合肥市</w:t>
            </w:r>
            <w:r>
              <w:rPr>
                <w:rFonts w:hint="eastAsia" w:asciiTheme="minorEastAsia" w:hAnsiTheme="minorEastAsia" w:eastAsiaTheme="minorEastAsia" w:cstheme="minorEastAsia"/>
                <w:snapToGrid/>
                <w:sz w:val="24"/>
                <w:szCs w:val="24"/>
                <w:highlight w:val="none"/>
                <w:lang w:bidi="ar"/>
              </w:rPr>
              <w:t>妇幼</w:t>
            </w:r>
            <w:r>
              <w:rPr>
                <w:rFonts w:hint="eastAsia" w:asciiTheme="minorEastAsia" w:hAnsiTheme="minorEastAsia" w:eastAsiaTheme="minorEastAsia" w:cstheme="minorEastAsia"/>
                <w:snapToGrid/>
                <w:sz w:val="24"/>
                <w:szCs w:val="24"/>
                <w:highlight w:val="none"/>
                <w:lang w:val="en-US" w:eastAsia="zh-CN" w:bidi="ar"/>
              </w:rPr>
              <w:t>保健院</w:t>
            </w:r>
            <w:r>
              <w:rPr>
                <w:rFonts w:hint="eastAsia" w:asciiTheme="minorEastAsia" w:hAnsiTheme="minorEastAsia" w:eastAsiaTheme="minorEastAsia" w:cstheme="minorEastAsia"/>
                <w:snapToGrid/>
                <w:sz w:val="24"/>
                <w:szCs w:val="24"/>
                <w:highlight w:val="none"/>
                <w:lang w:bidi="ar"/>
              </w:rPr>
              <w:t>中心院区，应遵守</w:t>
            </w:r>
            <w:r>
              <w:rPr>
                <w:rFonts w:hint="eastAsia" w:asciiTheme="minorEastAsia" w:hAnsiTheme="minorEastAsia" w:eastAsiaTheme="minorEastAsia" w:cstheme="minorEastAsia"/>
                <w:snapToGrid/>
                <w:sz w:val="24"/>
                <w:szCs w:val="24"/>
                <w:highlight w:val="none"/>
                <w:lang w:val="en-US" w:eastAsia="zh-CN" w:bidi="ar"/>
              </w:rPr>
              <w:t>医院</w:t>
            </w:r>
            <w:r>
              <w:rPr>
                <w:rFonts w:hint="eastAsia" w:asciiTheme="minorEastAsia" w:hAnsiTheme="minorEastAsia" w:eastAsiaTheme="minorEastAsia" w:cstheme="minorEastAsia"/>
                <w:snapToGrid/>
                <w:sz w:val="24"/>
                <w:szCs w:val="24"/>
                <w:highlight w:val="none"/>
                <w:lang w:bidi="ar"/>
              </w:rPr>
              <w:t>相关规章制度。提前提交管理成员名册、相应证书，由</w:t>
            </w:r>
            <w:r>
              <w:rPr>
                <w:rFonts w:hint="eastAsia" w:asciiTheme="minorEastAsia" w:hAnsiTheme="minorEastAsia" w:eastAsiaTheme="minorEastAsia" w:cstheme="minorEastAsia"/>
                <w:snapToGrid/>
                <w:sz w:val="24"/>
                <w:szCs w:val="24"/>
                <w:highlight w:val="none"/>
                <w:lang w:val="en-US" w:eastAsia="zh-CN" w:bidi="ar"/>
              </w:rPr>
              <w:t>医院</w:t>
            </w:r>
            <w:r>
              <w:rPr>
                <w:rFonts w:hint="eastAsia" w:asciiTheme="minorEastAsia" w:hAnsiTheme="minorEastAsia" w:eastAsiaTheme="minorEastAsia" w:cstheme="minorEastAsia"/>
                <w:snapToGrid/>
                <w:sz w:val="24"/>
                <w:szCs w:val="24"/>
                <w:highlight w:val="none"/>
                <w:lang w:bidi="ar"/>
              </w:rPr>
              <w:t>统一登记备案。</w:t>
            </w:r>
          </w:p>
        </w:tc>
        <w:tc>
          <w:tcPr>
            <w:tcW w:w="490" w:type="pct"/>
            <w:tcBorders>
              <w:top w:val="nil"/>
              <w:left w:val="nil"/>
              <w:bottom w:val="single" w:color="000000" w:sz="4"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3</w:t>
            </w:r>
          </w:p>
        </w:tc>
        <w:tc>
          <w:tcPr>
            <w:tcW w:w="693"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w:t>
            </w:r>
            <w:r>
              <w:rPr>
                <w:rFonts w:hint="eastAsia" w:asciiTheme="minorEastAsia" w:hAnsiTheme="minorEastAsia" w:eastAsiaTheme="minorEastAsia" w:cstheme="minorEastAsia"/>
                <w:snapToGrid/>
                <w:kern w:val="2"/>
                <w:sz w:val="24"/>
                <w:szCs w:val="24"/>
                <w:highlight w:val="none"/>
                <w:lang w:bidi="ar"/>
              </w:rPr>
              <w:t>3，基本符合2，不符合0.</w:t>
            </w:r>
          </w:p>
        </w:tc>
        <w:tc>
          <w:tcPr>
            <w:tcW w:w="288" w:type="pct"/>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1320"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3</w:t>
            </w:r>
          </w:p>
        </w:tc>
        <w:tc>
          <w:tcPr>
            <w:tcW w:w="477" w:type="pct"/>
            <w:vMerge w:val="restar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中央</w:t>
            </w:r>
          </w:p>
          <w:p>
            <w:pPr>
              <w:kinsoku/>
              <w:autoSpaceDE/>
              <w:autoSpaceDN/>
              <w:adjustRightInd/>
              <w:snapToGrid/>
              <w:jc w:val="center"/>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空调</w:t>
            </w:r>
          </w:p>
          <w:p>
            <w:pPr>
              <w:kinsoku/>
              <w:autoSpaceDE/>
              <w:autoSpaceDN/>
              <w:adjustRightInd/>
              <w:snapToGrid/>
              <w:jc w:val="center"/>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值班</w:t>
            </w:r>
          </w:p>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管理</w:t>
            </w: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中央空调运行值班人员需提前30分钟到岗位，核对前一日具体水、电的使用情况，完成交接班工作。保持配电房干净整洁，值班人员每天要提前对空调设备进行例行检查，发现问题及时维修，确保设备正常使用。</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3</w:t>
            </w:r>
          </w:p>
        </w:tc>
        <w:tc>
          <w:tcPr>
            <w:tcW w:w="693"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符合5</w:t>
            </w:r>
            <w:r>
              <w:rPr>
                <w:rFonts w:hint="eastAsia" w:asciiTheme="minorEastAsia" w:hAnsiTheme="minorEastAsia" w:eastAsiaTheme="minorEastAsia" w:cstheme="minorEastAsia"/>
                <w:snapToGrid/>
                <w:kern w:val="2"/>
                <w:sz w:val="24"/>
                <w:szCs w:val="24"/>
                <w:highlight w:val="none"/>
                <w:lang w:bidi="ar"/>
              </w:rPr>
              <w:t>，基本符合3，不符合0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227"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4</w:t>
            </w:r>
          </w:p>
        </w:tc>
        <w:tc>
          <w:tcPr>
            <w:tcW w:w="477" w:type="pct"/>
            <w:vMerge w:val="continue"/>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运行人员每隔2小时巡视1次中央空调机组，巡视部位包括：</w:t>
            </w:r>
          </w:p>
          <w:p>
            <w:pPr>
              <w:widowControl w:val="0"/>
              <w:numPr>
                <w:ilvl w:val="0"/>
                <w:numId w:val="1"/>
              </w:numPr>
              <w:kinsoku/>
              <w:autoSpaceDE/>
              <w:autoSpaceDN/>
              <w:adjustRightInd/>
              <w:snapToGrid/>
              <w:ind w:left="440" w:hanging="480" w:hangingChars="200"/>
              <w:jc w:val="both"/>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机组检查：制冷系统检查并维护良好；制冷回路无空气及不凝性气体、无制冷剂泄漏；</w:t>
            </w:r>
          </w:p>
          <w:p>
            <w:pPr>
              <w:widowControl w:val="0"/>
              <w:numPr>
                <w:ilvl w:val="0"/>
                <w:numId w:val="1"/>
              </w:numPr>
              <w:kinsoku/>
              <w:autoSpaceDE/>
              <w:autoSpaceDN/>
              <w:adjustRightInd/>
              <w:snapToGrid/>
              <w:ind w:left="440" w:hanging="480" w:hangingChars="200"/>
              <w:jc w:val="both"/>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电气检查：线电压、三相电流，控制柜（箱）各元器件动作是否正常，有无异常噪音或气味；</w:t>
            </w:r>
          </w:p>
          <w:p>
            <w:pPr>
              <w:widowControl w:val="0"/>
              <w:numPr>
                <w:ilvl w:val="0"/>
                <w:numId w:val="1"/>
              </w:numPr>
              <w:kinsoku/>
              <w:autoSpaceDE/>
              <w:autoSpaceDN/>
              <w:adjustRightInd/>
              <w:snapToGrid/>
              <w:jc w:val="both"/>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温度检查：冷却水进/出水温度，冷冻水进/出水温度；</w:t>
            </w:r>
          </w:p>
          <w:p>
            <w:pPr>
              <w:widowControl w:val="0"/>
              <w:numPr>
                <w:ilvl w:val="0"/>
                <w:numId w:val="1"/>
              </w:numPr>
              <w:kinsoku/>
              <w:autoSpaceDE/>
              <w:autoSpaceDN/>
              <w:adjustRightInd/>
              <w:snapToGrid/>
              <w:ind w:left="440" w:hanging="480" w:hangingChars="200"/>
              <w:jc w:val="both"/>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附属组件检查：冷却塔风机、冷却塔水位、冷却泵、冷冻泵、管道连接情况、保温层是否损坏、温度表和主要阀门。</w:t>
            </w:r>
          </w:p>
          <w:p>
            <w:pPr>
              <w:widowControl w:val="0"/>
              <w:numPr>
                <w:ilvl w:val="0"/>
                <w:numId w:val="1"/>
              </w:numPr>
              <w:kinsoku/>
              <w:autoSpaceDE/>
              <w:autoSpaceDN/>
              <w:adjustRightInd/>
              <w:snapToGrid/>
              <w:ind w:left="440" w:hanging="480" w:hangingChars="200"/>
              <w:jc w:val="both"/>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巡视过程中如发现上述情况有不正常时，值班人员应及时采取措施予以解决，处理不了的问题应及时汇报相应部门负责人，组织维修处理。</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5</w:t>
            </w:r>
          </w:p>
        </w:tc>
        <w:tc>
          <w:tcPr>
            <w:tcW w:w="693"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符合5，基本符合3，不符合0.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both"/>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840"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5</w:t>
            </w:r>
          </w:p>
        </w:tc>
        <w:tc>
          <w:tcPr>
            <w:tcW w:w="477" w:type="pct"/>
            <w:vMerge w:val="continue"/>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运行人员每2小时需将主机运行时相关运行参数记录在《空调主机运行记录表》上，主要为进/出水温及水压、机组高低压、油温油压、运行电流、负荷率等。同时还应检查控制中心的显示情况、监视显示器显示的警告信息、压缩机的排气温度应小于规定值、控制盘上电流表的读数应不大于规定额定电流值。</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5</w:t>
            </w:r>
          </w:p>
        </w:tc>
        <w:tc>
          <w:tcPr>
            <w:tcW w:w="693"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jc w:val="both"/>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w:t>
            </w:r>
            <w:r>
              <w:rPr>
                <w:rFonts w:hint="eastAsia" w:asciiTheme="minorEastAsia" w:hAnsiTheme="minorEastAsia" w:eastAsiaTheme="minorEastAsia" w:cstheme="minorEastAsia"/>
                <w:snapToGrid/>
                <w:kern w:val="2"/>
                <w:sz w:val="24"/>
                <w:szCs w:val="24"/>
                <w:highlight w:val="none"/>
                <w:lang w:bidi="ar"/>
              </w:rPr>
              <w:t>5，基本符合3，不符合0.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1113"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6</w:t>
            </w:r>
          </w:p>
        </w:tc>
        <w:tc>
          <w:tcPr>
            <w:tcW w:w="477" w:type="pct"/>
            <w:vMerge w:val="continue"/>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制冷主机运行过程中如出现异常现象（如冷水机组发生喘振、缺相等）或故障问题应立即停机，同时切换开启备用机组，保证空调供应正常；相关问题及时汇报班组或部门负责人，迅速组织人员查明原因、维修恢复。</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5</w:t>
            </w:r>
          </w:p>
        </w:tc>
        <w:tc>
          <w:tcPr>
            <w:tcW w:w="693" w:type="pct"/>
            <w:tcBorders>
              <w:top w:val="nil"/>
              <w:left w:val="nil"/>
              <w:bottom w:val="single" w:color="000000" w:sz="8" w:space="0"/>
              <w:right w:val="single" w:color="000000" w:sz="8" w:space="0"/>
            </w:tcBorders>
            <w:tcMar>
              <w:top w:w="17" w:type="dxa"/>
              <w:left w:w="17" w:type="dxa"/>
              <w:right w:w="17" w:type="dxa"/>
            </w:tcMar>
          </w:tcPr>
          <w:p>
            <w:pPr>
              <w:widowControl w:val="0"/>
              <w:kinsoku/>
              <w:autoSpaceDE/>
              <w:autoSpaceDN/>
              <w:adjustRightInd/>
              <w:snapToGrid/>
              <w:jc w:val="both"/>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w:t>
            </w:r>
            <w:r>
              <w:rPr>
                <w:rFonts w:hint="eastAsia" w:asciiTheme="minorEastAsia" w:hAnsiTheme="minorEastAsia" w:eastAsiaTheme="minorEastAsia" w:cstheme="minorEastAsia"/>
                <w:snapToGrid/>
                <w:kern w:val="2"/>
                <w:sz w:val="24"/>
                <w:szCs w:val="24"/>
                <w:highlight w:val="none"/>
                <w:lang w:bidi="ar"/>
              </w:rPr>
              <w:t>5，基本符合3，不符合0.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1113"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7</w:t>
            </w:r>
          </w:p>
        </w:tc>
        <w:tc>
          <w:tcPr>
            <w:tcW w:w="477" w:type="pct"/>
            <w:vMerge w:val="continue"/>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运行人员每隔2小时巡视大楼内部，了解空调使用情况。巡视内容：</w:t>
            </w:r>
          </w:p>
          <w:p>
            <w:pPr>
              <w:widowControl w:val="0"/>
              <w:numPr>
                <w:ilvl w:val="0"/>
                <w:numId w:val="2"/>
              </w:numPr>
              <w:kinsoku/>
              <w:autoSpaceDE/>
              <w:autoSpaceDN/>
              <w:adjustRightInd/>
              <w:snapToGrid/>
              <w:jc w:val="both"/>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室内温度测量：巡视人员应配备点温枪和记事本，随时测量楼道和房间内空调出风口温度，是否满足相关规定及舒适性要求；对大楼内空调使用方的诉求要礼貌回应，并做好记录整理，及时汇报和反馈；</w:t>
            </w:r>
          </w:p>
          <w:p>
            <w:pPr>
              <w:widowControl w:val="0"/>
              <w:numPr>
                <w:ilvl w:val="0"/>
                <w:numId w:val="2"/>
              </w:numPr>
              <w:kinsoku/>
              <w:autoSpaceDE/>
              <w:autoSpaceDN/>
              <w:adjustRightInd/>
              <w:snapToGrid/>
              <w:jc w:val="both"/>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室内管道检查：巡视人员应配备手电筒，检查楼层内管道井内管道及楼层内水平管是否漏水、保温层是否破损、阀门是否正常，若有异常应及时解决；</w:t>
            </w:r>
          </w:p>
          <w:p>
            <w:pPr>
              <w:widowControl w:val="0"/>
              <w:numPr>
                <w:ilvl w:val="0"/>
                <w:numId w:val="2"/>
              </w:numPr>
              <w:kinsoku/>
              <w:autoSpaceDE/>
              <w:autoSpaceDN/>
              <w:adjustRightInd/>
              <w:snapToGrid/>
              <w:jc w:val="both"/>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室内其它检查：巡视人员要熟悉大楼整体布局，制冷和采暖季节大厅电动门是否有隔热措施、楼道窗户是否关闭、大楼内是否有人员离开而空调未关；</w:t>
            </w:r>
          </w:p>
          <w:p>
            <w:pPr>
              <w:kinsoku/>
              <w:autoSpaceDE/>
              <w:autoSpaceDN/>
              <w:adjustRightInd/>
              <w:snapToGrid/>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对于不能立即解决的问题应及时上报相应班组或部门负责人，组织人员查明原因，维修解决。</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5</w:t>
            </w:r>
          </w:p>
        </w:tc>
        <w:tc>
          <w:tcPr>
            <w:tcW w:w="693" w:type="pct"/>
            <w:tcBorders>
              <w:top w:val="nil"/>
              <w:left w:val="nil"/>
              <w:bottom w:val="single" w:color="000000" w:sz="8" w:space="0"/>
              <w:right w:val="single" w:color="000000" w:sz="8" w:space="0"/>
            </w:tcBorders>
            <w:tcMar>
              <w:top w:w="17" w:type="dxa"/>
              <w:left w:w="17" w:type="dxa"/>
              <w:right w:w="17" w:type="dxa"/>
            </w:tcMar>
          </w:tcPr>
          <w:p>
            <w:pPr>
              <w:widowControl w:val="0"/>
              <w:kinsoku/>
              <w:autoSpaceDE/>
              <w:autoSpaceDN/>
              <w:adjustRightInd/>
              <w:snapToGrid/>
              <w:jc w:val="both"/>
              <w:textAlignment w:val="auto"/>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符合</w:t>
            </w:r>
            <w:r>
              <w:rPr>
                <w:rFonts w:hint="eastAsia" w:asciiTheme="minorEastAsia" w:hAnsiTheme="minorEastAsia" w:eastAsiaTheme="minorEastAsia" w:cstheme="minorEastAsia"/>
                <w:snapToGrid/>
                <w:kern w:val="2"/>
                <w:sz w:val="24"/>
                <w:szCs w:val="24"/>
                <w:highlight w:val="none"/>
                <w:lang w:bidi="ar"/>
              </w:rPr>
              <w:t>5，基本符合3，不符合0.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1113"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8</w:t>
            </w:r>
          </w:p>
        </w:tc>
        <w:tc>
          <w:tcPr>
            <w:tcW w:w="477" w:type="pct"/>
            <w:vMerge w:val="continue"/>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供冷供热服务标准须满足国家规范要求及我院实际临床生产使用要求，基中夏季供冷室内平均温度为26±2℃；冬季供暖室内平均温度20±2℃。</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8</w:t>
            </w:r>
          </w:p>
        </w:tc>
        <w:tc>
          <w:tcPr>
            <w:tcW w:w="693" w:type="pct"/>
            <w:tcBorders>
              <w:top w:val="nil"/>
              <w:left w:val="nil"/>
              <w:bottom w:val="single" w:color="000000" w:sz="8" w:space="0"/>
              <w:right w:val="single" w:color="000000" w:sz="8" w:space="0"/>
            </w:tcBorders>
            <w:tcMar>
              <w:top w:w="17" w:type="dxa"/>
              <w:left w:w="17" w:type="dxa"/>
              <w:right w:w="17" w:type="dxa"/>
            </w:tcMar>
          </w:tcPr>
          <w:p>
            <w:pPr>
              <w:widowControl w:val="0"/>
              <w:kinsoku/>
              <w:autoSpaceDE/>
              <w:autoSpaceDN/>
              <w:adjustRightInd/>
              <w:snapToGrid/>
              <w:jc w:val="both"/>
              <w:textAlignment w:val="auto"/>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符合</w:t>
            </w:r>
            <w:r>
              <w:rPr>
                <w:rFonts w:hint="eastAsia" w:asciiTheme="minorEastAsia" w:hAnsiTheme="minorEastAsia" w:eastAsiaTheme="minorEastAsia" w:cstheme="minorEastAsia"/>
                <w:snapToGrid/>
                <w:kern w:val="2"/>
                <w:sz w:val="24"/>
                <w:szCs w:val="24"/>
                <w:highlight w:val="none"/>
                <w:lang w:bidi="ar"/>
              </w:rPr>
              <w:t>8，基本符合6，不符合0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1254"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9</w:t>
            </w:r>
          </w:p>
        </w:tc>
        <w:tc>
          <w:tcPr>
            <w:tcW w:w="477" w:type="pct"/>
            <w:vMerge w:val="continue"/>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运行值班人员严禁脱岗、喧哗、喝酒、打牌等与工作无关的事，同时要做好大楼内因上班不能施工，只能下班后施工的工作计划并与相关部门提前沟通，得到许可后才可进行。</w:t>
            </w:r>
          </w:p>
          <w:p>
            <w:pPr>
              <w:kinsoku/>
              <w:autoSpaceDE/>
              <w:autoSpaceDN/>
              <w:adjustRightInd/>
              <w:snapToGrid/>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供暖供冷期间值班人员严禁离岗，定时巡查设备运转情况，出现重大异常情况要及时汇报。</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3</w:t>
            </w:r>
          </w:p>
        </w:tc>
        <w:tc>
          <w:tcPr>
            <w:tcW w:w="693"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w:t>
            </w:r>
            <w:r>
              <w:rPr>
                <w:rFonts w:hint="eastAsia" w:asciiTheme="minorEastAsia" w:hAnsiTheme="minorEastAsia" w:eastAsiaTheme="minorEastAsia" w:cstheme="minorEastAsia"/>
                <w:snapToGrid/>
                <w:kern w:val="2"/>
                <w:sz w:val="24"/>
                <w:szCs w:val="24"/>
                <w:highlight w:val="none"/>
                <w:lang w:bidi="ar"/>
              </w:rPr>
              <w:t>3，基本符合2，不符合0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690"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10</w:t>
            </w:r>
          </w:p>
        </w:tc>
        <w:tc>
          <w:tcPr>
            <w:tcW w:w="477" w:type="pct"/>
            <w:vMerge w:val="restar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ind w:firstLine="240" w:firstLineChars="100"/>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台账</w:t>
            </w:r>
          </w:p>
          <w:p>
            <w:pPr>
              <w:kinsoku/>
              <w:autoSpaceDE/>
              <w:autoSpaceDN/>
              <w:adjustRightInd/>
              <w:snapToGrid/>
              <w:ind w:firstLine="240" w:firstLineChars="100"/>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管理</w:t>
            </w:r>
          </w:p>
        </w:tc>
        <w:tc>
          <w:tcPr>
            <w:tcW w:w="2752"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做好每月水、电抄表预算工作，时间节点要结合相关部门的要求和规定去做。</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3</w:t>
            </w:r>
          </w:p>
        </w:tc>
        <w:tc>
          <w:tcPr>
            <w:tcW w:w="693"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jc w:val="both"/>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符合3,基本符合3,不符合0.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1067"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11</w:t>
            </w:r>
          </w:p>
        </w:tc>
        <w:tc>
          <w:tcPr>
            <w:tcW w:w="477" w:type="pct"/>
            <w:vMerge w:val="continue"/>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每日运行值班人员做好故障投诉电话的接听和记录，并通知人员及时维修，要认真填写派工单，维修内容有变动的要详细补写并签字，结束后由负责人签字确认。</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3</w:t>
            </w:r>
          </w:p>
        </w:tc>
        <w:tc>
          <w:tcPr>
            <w:tcW w:w="693"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符合3，基本符合2，不符合0.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468" w:hRule="atLeast"/>
          <w:jc w:val="center"/>
        </w:trPr>
        <w:tc>
          <w:tcPr>
            <w:tcW w:w="297" w:type="pct"/>
            <w:tcBorders>
              <w:top w:val="nil"/>
              <w:left w:val="single" w:color="000000" w:sz="8" w:space="0"/>
              <w:bottom w:val="single" w:color="auto" w:sz="4"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12</w:t>
            </w:r>
          </w:p>
        </w:tc>
        <w:tc>
          <w:tcPr>
            <w:tcW w:w="477" w:type="pct"/>
            <w:vMerge w:val="continue"/>
            <w:tcBorders>
              <w:top w:val="nil"/>
              <w:left w:val="nil"/>
              <w:bottom w:val="single" w:color="auto" w:sz="4" w:space="0"/>
              <w:right w:val="single" w:color="000000" w:sz="8" w:space="0"/>
            </w:tcBorders>
            <w:tcMar>
              <w:top w:w="17" w:type="dxa"/>
              <w:left w:w="17" w:type="dxa"/>
              <w:right w:w="17" w:type="dxa"/>
            </w:tcMar>
            <w:vAlign w:val="center"/>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auto" w:sz="4"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做好各类公共设施、设备台账登记和运行记录。</w:t>
            </w:r>
            <w:r>
              <w:rPr>
                <w:rFonts w:hint="eastAsia" w:asciiTheme="minorEastAsia" w:hAnsiTheme="minorEastAsia" w:eastAsiaTheme="minorEastAsia" w:cstheme="minorEastAsia"/>
                <w:snapToGrid/>
                <w:kern w:val="2"/>
                <w:sz w:val="24"/>
                <w:szCs w:val="24"/>
                <w:highlight w:val="none"/>
                <w:lang w:bidi="ar"/>
              </w:rPr>
              <w:t>做好各类维修记录台帐等。</w:t>
            </w:r>
          </w:p>
        </w:tc>
        <w:tc>
          <w:tcPr>
            <w:tcW w:w="490" w:type="pct"/>
            <w:tcBorders>
              <w:top w:val="nil"/>
              <w:left w:val="nil"/>
              <w:bottom w:val="single" w:color="auto" w:sz="4"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3</w:t>
            </w:r>
          </w:p>
        </w:tc>
        <w:tc>
          <w:tcPr>
            <w:tcW w:w="693" w:type="pct"/>
            <w:tcBorders>
              <w:top w:val="nil"/>
              <w:left w:val="nil"/>
              <w:bottom w:val="single" w:color="auto" w:sz="4" w:space="0"/>
              <w:right w:val="single" w:color="000000" w:sz="8" w:space="0"/>
            </w:tcBorders>
            <w:tcMar>
              <w:top w:w="17" w:type="dxa"/>
              <w:left w:w="17" w:type="dxa"/>
              <w:right w:w="17" w:type="dxa"/>
            </w:tcMar>
          </w:tcPr>
          <w:p>
            <w:pPr>
              <w:kinsoku/>
              <w:autoSpaceDE/>
              <w:autoSpaceDN/>
              <w:adjustRightInd/>
              <w:snapToGrid/>
              <w:jc w:val="both"/>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w:t>
            </w:r>
            <w:r>
              <w:rPr>
                <w:rFonts w:hint="eastAsia" w:asciiTheme="minorEastAsia" w:hAnsiTheme="minorEastAsia" w:eastAsiaTheme="minorEastAsia" w:cstheme="minorEastAsia"/>
                <w:snapToGrid/>
                <w:kern w:val="2"/>
                <w:sz w:val="24"/>
                <w:szCs w:val="24"/>
                <w:highlight w:val="none"/>
                <w:lang w:bidi="ar"/>
              </w:rPr>
              <w:t>3，基本符合2，不符合0.</w:t>
            </w:r>
          </w:p>
        </w:tc>
        <w:tc>
          <w:tcPr>
            <w:tcW w:w="288" w:type="pct"/>
            <w:tcBorders>
              <w:top w:val="nil"/>
              <w:left w:val="nil"/>
              <w:bottom w:val="single" w:color="auto" w:sz="4"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1015" w:hRule="atLeast"/>
          <w:jc w:val="center"/>
        </w:trPr>
        <w:tc>
          <w:tcPr>
            <w:tcW w:w="297" w:type="pct"/>
            <w:tcBorders>
              <w:top w:val="single" w:color="auto" w:sz="4" w:space="0"/>
              <w:left w:val="single" w:color="000000" w:sz="8" w:space="0"/>
              <w:bottom w:val="single" w:color="auto" w:sz="4"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13</w:t>
            </w:r>
          </w:p>
        </w:tc>
        <w:tc>
          <w:tcPr>
            <w:tcW w:w="477" w:type="pct"/>
            <w:vMerge w:val="restart"/>
            <w:tcBorders>
              <w:top w:val="single" w:color="auto" w:sz="4" w:space="0"/>
              <w:left w:val="nil"/>
              <w:bottom w:val="single" w:color="auto" w:sz="4"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 xml:space="preserve"> 维修</w:t>
            </w:r>
          </w:p>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 xml:space="preserve"> 管</w:t>
            </w:r>
            <w:bookmarkStart w:id="0" w:name="_GoBack"/>
            <w:bookmarkEnd w:id="0"/>
            <w:r>
              <w:rPr>
                <w:rFonts w:hint="eastAsia" w:asciiTheme="minorEastAsia" w:hAnsiTheme="minorEastAsia" w:eastAsiaTheme="minorEastAsia" w:cstheme="minorEastAsia"/>
                <w:snapToGrid/>
                <w:sz w:val="24"/>
                <w:szCs w:val="24"/>
                <w:highlight w:val="none"/>
                <w:lang w:bidi="ar"/>
              </w:rPr>
              <w:t>理</w:t>
            </w:r>
          </w:p>
        </w:tc>
        <w:tc>
          <w:tcPr>
            <w:tcW w:w="2752" w:type="pct"/>
            <w:tcBorders>
              <w:top w:val="single" w:color="auto" w:sz="4" w:space="0"/>
              <w:left w:val="nil"/>
              <w:bottom w:val="single" w:color="auto" w:sz="4"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托管服务范围内，如需进行节能改造，托管单位应当制定专项或者综合节能改造方案，</w:t>
            </w:r>
            <w:r>
              <w:rPr>
                <w:rFonts w:hint="eastAsia" w:asciiTheme="minorEastAsia" w:hAnsiTheme="minorEastAsia" w:eastAsiaTheme="minorEastAsia" w:cstheme="minorEastAsia"/>
                <w:snapToGrid/>
                <w:sz w:val="24"/>
                <w:szCs w:val="24"/>
                <w:highlight w:val="none"/>
                <w:lang w:val="en-US" w:eastAsia="zh-CN" w:bidi="ar"/>
              </w:rPr>
              <w:t>医院</w:t>
            </w:r>
            <w:r>
              <w:rPr>
                <w:rFonts w:hint="eastAsia" w:asciiTheme="minorEastAsia" w:hAnsiTheme="minorEastAsia" w:eastAsiaTheme="minorEastAsia" w:cstheme="minorEastAsia"/>
                <w:snapToGrid/>
                <w:sz w:val="24"/>
                <w:szCs w:val="24"/>
                <w:highlight w:val="none"/>
                <w:lang w:bidi="ar"/>
              </w:rPr>
              <w:t>将与其就改造的范围、拟使用的节能技术、产品、投资数额、投资形成的资产所有权、施工时间等问题进行协商，托管单位在前述基础上就节能改造事项制定专项方案，并经</w:t>
            </w:r>
            <w:r>
              <w:rPr>
                <w:rFonts w:hint="eastAsia" w:asciiTheme="minorEastAsia" w:hAnsiTheme="minorEastAsia" w:eastAsiaTheme="minorEastAsia" w:cstheme="minorEastAsia"/>
                <w:snapToGrid/>
                <w:sz w:val="24"/>
                <w:szCs w:val="24"/>
                <w:highlight w:val="none"/>
                <w:lang w:val="en-US" w:eastAsia="zh-CN" w:bidi="ar"/>
              </w:rPr>
              <w:t>医院</w:t>
            </w:r>
            <w:r>
              <w:rPr>
                <w:rFonts w:hint="eastAsia" w:asciiTheme="minorEastAsia" w:hAnsiTheme="minorEastAsia" w:eastAsiaTheme="minorEastAsia" w:cstheme="minorEastAsia"/>
                <w:snapToGrid/>
                <w:sz w:val="24"/>
                <w:szCs w:val="24"/>
                <w:highlight w:val="none"/>
                <w:lang w:bidi="ar"/>
              </w:rPr>
              <w:t>签字、盖章确认方可实施。</w:t>
            </w:r>
          </w:p>
          <w:p>
            <w:pPr>
              <w:kinsoku/>
              <w:autoSpaceDE/>
              <w:autoSpaceDN/>
              <w:adjustRightInd/>
              <w:snapToGrid/>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节能改造需由托管单位自行采购的设备，运行后的相关维修保养费用由托管单位自行负担，</w:t>
            </w:r>
            <w:r>
              <w:rPr>
                <w:rFonts w:hint="eastAsia" w:asciiTheme="minorEastAsia" w:hAnsiTheme="minorEastAsia" w:eastAsiaTheme="minorEastAsia" w:cstheme="minorEastAsia"/>
                <w:snapToGrid/>
                <w:sz w:val="24"/>
                <w:szCs w:val="24"/>
                <w:highlight w:val="none"/>
                <w:lang w:val="en-US" w:eastAsia="zh-CN" w:bidi="ar"/>
              </w:rPr>
              <w:t>医院</w:t>
            </w:r>
            <w:r>
              <w:rPr>
                <w:rFonts w:hint="eastAsia" w:asciiTheme="minorEastAsia" w:hAnsiTheme="minorEastAsia" w:eastAsiaTheme="minorEastAsia" w:cstheme="minorEastAsia"/>
                <w:snapToGrid/>
                <w:sz w:val="24"/>
                <w:szCs w:val="24"/>
                <w:highlight w:val="none"/>
                <w:lang w:bidi="ar"/>
              </w:rPr>
              <w:t>不再承担相应的费用。</w:t>
            </w:r>
          </w:p>
        </w:tc>
        <w:tc>
          <w:tcPr>
            <w:tcW w:w="490" w:type="pct"/>
            <w:tcBorders>
              <w:top w:val="single" w:color="auto" w:sz="4" w:space="0"/>
              <w:left w:val="nil"/>
              <w:bottom w:val="single" w:color="auto" w:sz="4"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5</w:t>
            </w:r>
          </w:p>
        </w:tc>
        <w:tc>
          <w:tcPr>
            <w:tcW w:w="693" w:type="pct"/>
            <w:tcBorders>
              <w:top w:val="single" w:color="auto" w:sz="4" w:space="0"/>
              <w:left w:val="nil"/>
              <w:bottom w:val="single" w:color="auto" w:sz="4"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w:t>
            </w:r>
            <w:r>
              <w:rPr>
                <w:rFonts w:hint="eastAsia" w:asciiTheme="minorEastAsia" w:hAnsiTheme="minorEastAsia" w:eastAsiaTheme="minorEastAsia" w:cstheme="minorEastAsia"/>
                <w:snapToGrid/>
                <w:kern w:val="2"/>
                <w:sz w:val="24"/>
                <w:szCs w:val="24"/>
                <w:highlight w:val="none"/>
                <w:lang w:bidi="ar"/>
              </w:rPr>
              <w:t>5，基本符合4，不符合0.</w:t>
            </w:r>
          </w:p>
        </w:tc>
        <w:tc>
          <w:tcPr>
            <w:tcW w:w="288" w:type="pct"/>
            <w:tcBorders>
              <w:top w:val="single" w:color="auto" w:sz="4" w:space="0"/>
              <w:left w:val="nil"/>
              <w:bottom w:val="single" w:color="auto" w:sz="4"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525" w:hRule="atLeast"/>
          <w:jc w:val="center"/>
        </w:trPr>
        <w:tc>
          <w:tcPr>
            <w:tcW w:w="297" w:type="pct"/>
            <w:tcBorders>
              <w:top w:val="single" w:color="auto" w:sz="4" w:space="0"/>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14</w:t>
            </w:r>
          </w:p>
        </w:tc>
        <w:tc>
          <w:tcPr>
            <w:tcW w:w="477" w:type="pct"/>
            <w:vMerge w:val="continue"/>
            <w:tcBorders>
              <w:top w:val="single" w:color="auto" w:sz="4" w:space="0"/>
              <w:left w:val="nil"/>
              <w:right w:val="single" w:color="000000" w:sz="8" w:space="0"/>
            </w:tcBorders>
            <w:tcMar>
              <w:top w:w="17" w:type="dxa"/>
              <w:left w:w="17" w:type="dxa"/>
              <w:right w:w="17" w:type="dxa"/>
            </w:tcMar>
            <w:vAlign w:val="center"/>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single" w:color="auto" w:sz="4" w:space="0"/>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既有供能设备（包括供暖设备、制冷设备、风机盘管、管道等设备）的更新改造和大修费用不包括在托管费用之内，列入</w:t>
            </w:r>
            <w:r>
              <w:rPr>
                <w:rFonts w:hint="eastAsia" w:asciiTheme="minorEastAsia" w:hAnsiTheme="minorEastAsia" w:eastAsiaTheme="minorEastAsia" w:cstheme="minorEastAsia"/>
                <w:snapToGrid/>
                <w:kern w:val="2"/>
                <w:sz w:val="24"/>
                <w:szCs w:val="24"/>
                <w:highlight w:val="none"/>
                <w:lang w:val="en-US" w:eastAsia="zh-CN"/>
              </w:rPr>
              <w:t>医院</w:t>
            </w:r>
            <w:r>
              <w:rPr>
                <w:rFonts w:hint="eastAsia" w:asciiTheme="minorEastAsia" w:hAnsiTheme="minorEastAsia" w:eastAsiaTheme="minorEastAsia" w:cstheme="minorEastAsia"/>
                <w:snapToGrid/>
                <w:kern w:val="2"/>
                <w:sz w:val="24"/>
                <w:szCs w:val="24"/>
                <w:highlight w:val="none"/>
              </w:rPr>
              <w:t>固定资产投资计划，由</w:t>
            </w:r>
            <w:r>
              <w:rPr>
                <w:rFonts w:hint="eastAsia" w:asciiTheme="minorEastAsia" w:hAnsiTheme="minorEastAsia" w:eastAsiaTheme="minorEastAsia" w:cstheme="minorEastAsia"/>
                <w:snapToGrid/>
                <w:kern w:val="2"/>
                <w:sz w:val="24"/>
                <w:szCs w:val="24"/>
                <w:highlight w:val="none"/>
                <w:lang w:val="en-US" w:eastAsia="zh-CN"/>
              </w:rPr>
              <w:t>医院</w:t>
            </w:r>
            <w:r>
              <w:rPr>
                <w:rFonts w:hint="eastAsia" w:asciiTheme="minorEastAsia" w:hAnsiTheme="minorEastAsia" w:eastAsiaTheme="minorEastAsia" w:cstheme="minorEastAsia"/>
                <w:snapToGrid/>
                <w:kern w:val="2"/>
                <w:sz w:val="24"/>
                <w:szCs w:val="24"/>
                <w:highlight w:val="none"/>
              </w:rPr>
              <w:t>另行承担。日常保养的费用由托管单位承担（1000元以内），包括管道、阀门、密封件、软接头、过滤网等易损件的更换；若遇到压缩机、电机、制冷机的轴承、线圈、控制屏等关键部件则由</w:t>
            </w:r>
            <w:r>
              <w:rPr>
                <w:rFonts w:hint="eastAsia" w:asciiTheme="minorEastAsia" w:hAnsiTheme="minorEastAsia" w:eastAsiaTheme="minorEastAsia" w:cstheme="minorEastAsia"/>
                <w:snapToGrid/>
                <w:kern w:val="2"/>
                <w:sz w:val="24"/>
                <w:szCs w:val="24"/>
                <w:highlight w:val="none"/>
                <w:lang w:val="en-US" w:eastAsia="zh-CN"/>
              </w:rPr>
              <w:t>医院</w:t>
            </w:r>
            <w:r>
              <w:rPr>
                <w:rFonts w:hint="eastAsia" w:asciiTheme="minorEastAsia" w:hAnsiTheme="minorEastAsia" w:eastAsiaTheme="minorEastAsia" w:cstheme="minorEastAsia"/>
                <w:snapToGrid/>
                <w:kern w:val="2"/>
                <w:sz w:val="24"/>
                <w:szCs w:val="24"/>
                <w:highlight w:val="none"/>
              </w:rPr>
              <w:t>承担相关费用，托管单位负责配合。</w:t>
            </w:r>
          </w:p>
        </w:tc>
        <w:tc>
          <w:tcPr>
            <w:tcW w:w="490" w:type="pct"/>
            <w:tcBorders>
              <w:top w:val="single" w:color="auto" w:sz="4" w:space="0"/>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5</w:t>
            </w:r>
          </w:p>
        </w:tc>
        <w:tc>
          <w:tcPr>
            <w:tcW w:w="693" w:type="pct"/>
            <w:tcBorders>
              <w:top w:val="single" w:color="auto" w:sz="4" w:space="0"/>
              <w:left w:val="nil"/>
              <w:bottom w:val="single" w:color="000000" w:sz="8"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符合5，基本符合3，不符合0.</w:t>
            </w:r>
          </w:p>
        </w:tc>
        <w:tc>
          <w:tcPr>
            <w:tcW w:w="288" w:type="pct"/>
            <w:tcBorders>
              <w:top w:val="single" w:color="auto" w:sz="4" w:space="0"/>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780"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15</w:t>
            </w:r>
          </w:p>
        </w:tc>
        <w:tc>
          <w:tcPr>
            <w:tcW w:w="477" w:type="pct"/>
            <w:vMerge w:val="continue"/>
            <w:tcBorders>
              <w:left w:val="nil"/>
              <w:right w:val="single" w:color="000000" w:sz="8" w:space="0"/>
            </w:tcBorders>
            <w:tcMar>
              <w:top w:w="17" w:type="dxa"/>
              <w:left w:w="17" w:type="dxa"/>
              <w:right w:w="17" w:type="dxa"/>
            </w:tcMar>
            <w:vAlign w:val="center"/>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因特殊情况维修必须要停水停电时，先做好预案汇报后并和有关处室通知并协调后方可进行，不得擅自做主停水停电。</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5</w:t>
            </w:r>
          </w:p>
        </w:tc>
        <w:tc>
          <w:tcPr>
            <w:tcW w:w="693"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符合5，基本符合3，不符合0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600"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16</w:t>
            </w:r>
          </w:p>
        </w:tc>
        <w:tc>
          <w:tcPr>
            <w:tcW w:w="477" w:type="pct"/>
            <w:vMerge w:val="continue"/>
            <w:tcBorders>
              <w:left w:val="nil"/>
              <w:right w:val="single" w:color="000000" w:sz="8" w:space="0"/>
            </w:tcBorders>
            <w:tcMar>
              <w:top w:w="17" w:type="dxa"/>
              <w:left w:w="17" w:type="dxa"/>
              <w:right w:w="17" w:type="dxa"/>
            </w:tcMar>
            <w:vAlign w:val="center"/>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服从领导工作安排，信息回复要及时，从眼前做起，从小事做起。</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5</w:t>
            </w:r>
          </w:p>
        </w:tc>
        <w:tc>
          <w:tcPr>
            <w:tcW w:w="693" w:type="pct"/>
            <w:tcBorders>
              <w:top w:val="nil"/>
              <w:left w:val="nil"/>
              <w:bottom w:val="single" w:color="000000" w:sz="8" w:space="0"/>
              <w:right w:val="single" w:color="000000" w:sz="8" w:space="0"/>
            </w:tcBorders>
            <w:tcMar>
              <w:top w:w="17" w:type="dxa"/>
              <w:left w:w="17" w:type="dxa"/>
              <w:right w:w="17" w:type="dxa"/>
            </w:tcMar>
            <w:vAlign w:val="bottom"/>
          </w:tcPr>
          <w:p>
            <w:pPr>
              <w:kinsoku/>
              <w:autoSpaceDE/>
              <w:autoSpaceDN/>
              <w:adjustRightInd/>
              <w:snapToGrid/>
              <w:textAlignment w:val="bottom"/>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符合5，基本符合3，不符合0.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820"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17</w:t>
            </w:r>
          </w:p>
        </w:tc>
        <w:tc>
          <w:tcPr>
            <w:tcW w:w="477" w:type="pct"/>
            <w:vMerge w:val="continue"/>
            <w:tcBorders>
              <w:left w:val="nil"/>
              <w:right w:val="single" w:color="000000" w:sz="8" w:space="0"/>
            </w:tcBorders>
            <w:tcMar>
              <w:top w:w="17" w:type="dxa"/>
              <w:left w:w="17" w:type="dxa"/>
              <w:right w:w="17" w:type="dxa"/>
            </w:tcMar>
            <w:vAlign w:val="center"/>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工作积极主动、不消极怠工、懒散，搞好团队合作互相帮助，规范言行。做好市场调研，熟悉各种材料的规格及了解新技术材料应用有创新思路。</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5</w:t>
            </w:r>
          </w:p>
        </w:tc>
        <w:tc>
          <w:tcPr>
            <w:tcW w:w="693"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符合5，基本符合3，不符合0.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1282"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18</w:t>
            </w:r>
          </w:p>
        </w:tc>
        <w:tc>
          <w:tcPr>
            <w:tcW w:w="477" w:type="pct"/>
            <w:vMerge w:val="continue"/>
            <w:tcBorders>
              <w:left w:val="nil"/>
              <w:right w:val="single" w:color="000000" w:sz="8" w:space="0"/>
            </w:tcBorders>
            <w:tcMar>
              <w:top w:w="17" w:type="dxa"/>
              <w:left w:w="17" w:type="dxa"/>
              <w:right w:w="17" w:type="dxa"/>
            </w:tcMar>
            <w:vAlign w:val="center"/>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服从领导工作安排，积极完成领导交办的各项工作。接报修故障后，不能及时维修的问题，要把问题搞清、信息搞准、工作做细查清原因，并拿出维修方案及建议，维修及时率和合格率要100%，无法维修的要说明原因。维修前和维修后都要拍照发维修群内。</w:t>
            </w:r>
          </w:p>
        </w:tc>
        <w:tc>
          <w:tcPr>
            <w:tcW w:w="490"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5</w:t>
            </w:r>
          </w:p>
        </w:tc>
        <w:tc>
          <w:tcPr>
            <w:tcW w:w="693"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符合5，基本符合3，不符合0</w:t>
            </w:r>
          </w:p>
        </w:tc>
        <w:tc>
          <w:tcPr>
            <w:tcW w:w="288" w:type="pct"/>
            <w:tcBorders>
              <w:top w:val="nil"/>
              <w:left w:val="nil"/>
              <w:bottom w:val="single" w:color="000000" w:sz="8" w:space="0"/>
              <w:right w:val="single" w:color="000000" w:sz="8" w:space="0"/>
            </w:tcBorders>
            <w:tcMar>
              <w:top w:w="17" w:type="dxa"/>
              <w:left w:w="17" w:type="dxa"/>
              <w:right w:w="17" w:type="dxa"/>
            </w:tcMa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1282" w:hRule="atLeast"/>
          <w:jc w:val="center"/>
        </w:trPr>
        <w:tc>
          <w:tcPr>
            <w:tcW w:w="297" w:type="pct"/>
            <w:tcBorders>
              <w:top w:val="nil"/>
              <w:left w:val="single" w:color="000000" w:sz="8" w:space="0"/>
              <w:bottom w:val="single" w:color="auto" w:sz="4"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19</w:t>
            </w:r>
          </w:p>
        </w:tc>
        <w:tc>
          <w:tcPr>
            <w:tcW w:w="477" w:type="pct"/>
            <w:vMerge w:val="continue"/>
            <w:tcBorders>
              <w:left w:val="nil"/>
              <w:bottom w:val="single" w:color="auto" w:sz="4" w:space="0"/>
              <w:right w:val="single" w:color="000000" w:sz="8" w:space="0"/>
            </w:tcBorders>
            <w:tcMar>
              <w:top w:w="17" w:type="dxa"/>
              <w:left w:w="17" w:type="dxa"/>
              <w:right w:w="17" w:type="dxa"/>
            </w:tcMar>
            <w:vAlign w:val="center"/>
          </w:tcPr>
          <w:p>
            <w:pPr>
              <w:widowControl w:val="0"/>
              <w:kinsoku/>
              <w:autoSpaceDE/>
              <w:autoSpaceDN/>
              <w:adjustRightInd/>
              <w:snapToGrid/>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auto" w:sz="4"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全年无计划停供空调时长不得超过12小时。对于故障停机，影响</w:t>
            </w:r>
            <w:r>
              <w:rPr>
                <w:rFonts w:hint="eastAsia" w:asciiTheme="minorEastAsia" w:hAnsiTheme="minorEastAsia" w:eastAsiaTheme="minorEastAsia" w:cstheme="minorEastAsia"/>
                <w:snapToGrid/>
                <w:sz w:val="24"/>
                <w:szCs w:val="24"/>
                <w:highlight w:val="none"/>
                <w:lang w:val="en-US" w:eastAsia="zh-CN" w:bidi="ar"/>
              </w:rPr>
              <w:t>医院</w:t>
            </w:r>
            <w:r>
              <w:rPr>
                <w:rFonts w:hint="eastAsia" w:asciiTheme="minorEastAsia" w:hAnsiTheme="minorEastAsia" w:eastAsiaTheme="minorEastAsia" w:cstheme="minorEastAsia"/>
                <w:snapToGrid/>
                <w:sz w:val="24"/>
                <w:szCs w:val="24"/>
                <w:highlight w:val="none"/>
                <w:lang w:bidi="ar"/>
              </w:rPr>
              <w:t>正常临床生产需要，要求在4小时内解决，若在规定时间内未能解决，则须接受</w:t>
            </w:r>
            <w:r>
              <w:rPr>
                <w:rFonts w:hint="eastAsia" w:asciiTheme="minorEastAsia" w:hAnsiTheme="minorEastAsia" w:eastAsiaTheme="minorEastAsia" w:cstheme="minorEastAsia"/>
                <w:snapToGrid/>
                <w:sz w:val="24"/>
                <w:szCs w:val="24"/>
                <w:highlight w:val="none"/>
                <w:lang w:val="en-US" w:eastAsia="zh-CN" w:bidi="ar"/>
              </w:rPr>
              <w:t>医院</w:t>
            </w:r>
            <w:r>
              <w:rPr>
                <w:rFonts w:hint="eastAsia" w:asciiTheme="minorEastAsia" w:hAnsiTheme="minorEastAsia" w:eastAsiaTheme="minorEastAsia" w:cstheme="minorEastAsia"/>
                <w:snapToGrid/>
                <w:sz w:val="24"/>
                <w:szCs w:val="24"/>
                <w:highlight w:val="none"/>
                <w:lang w:bidi="ar"/>
              </w:rPr>
              <w:t>相应处罚，并给予赔偿。</w:t>
            </w:r>
          </w:p>
        </w:tc>
        <w:tc>
          <w:tcPr>
            <w:tcW w:w="490" w:type="pct"/>
            <w:tcBorders>
              <w:top w:val="nil"/>
              <w:left w:val="nil"/>
              <w:bottom w:val="single" w:color="auto" w:sz="4"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8</w:t>
            </w:r>
          </w:p>
        </w:tc>
        <w:tc>
          <w:tcPr>
            <w:tcW w:w="693" w:type="pct"/>
            <w:tcBorders>
              <w:top w:val="nil"/>
              <w:left w:val="nil"/>
              <w:bottom w:val="single" w:color="auto" w:sz="4"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符合8，基本符合6，不符合0</w:t>
            </w:r>
          </w:p>
        </w:tc>
        <w:tc>
          <w:tcPr>
            <w:tcW w:w="288" w:type="pct"/>
            <w:tcBorders>
              <w:top w:val="nil"/>
              <w:left w:val="nil"/>
              <w:bottom w:val="single" w:color="auto" w:sz="4" w:space="0"/>
              <w:right w:val="single" w:color="000000" w:sz="8" w:space="0"/>
            </w:tcBorders>
            <w:tcMar>
              <w:top w:w="17" w:type="dxa"/>
              <w:left w:w="17" w:type="dxa"/>
              <w:right w:w="17" w:type="dxa"/>
            </w:tcMa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955" w:hRule="atLeast"/>
          <w:jc w:val="center"/>
        </w:trPr>
        <w:tc>
          <w:tcPr>
            <w:tcW w:w="297" w:type="pct"/>
            <w:tcBorders>
              <w:top w:val="single" w:color="auto" w:sz="4" w:space="0"/>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20</w:t>
            </w:r>
          </w:p>
        </w:tc>
        <w:tc>
          <w:tcPr>
            <w:tcW w:w="477" w:type="pct"/>
            <w:vMerge w:val="restart"/>
            <w:tcBorders>
              <w:top w:val="single" w:color="auto" w:sz="4" w:space="0"/>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ind w:left="210" w:leftChars="100"/>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安全</w:t>
            </w:r>
          </w:p>
          <w:p>
            <w:pPr>
              <w:widowControl w:val="0"/>
              <w:kinsoku/>
              <w:autoSpaceDE/>
              <w:autoSpaceDN/>
              <w:adjustRightInd/>
              <w:snapToGrid/>
              <w:ind w:left="210" w:leftChars="100"/>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管理</w:t>
            </w:r>
          </w:p>
        </w:tc>
        <w:tc>
          <w:tcPr>
            <w:tcW w:w="2752" w:type="pct"/>
            <w:tcBorders>
              <w:top w:val="single" w:color="auto" w:sz="4" w:space="0"/>
              <w:left w:val="nil"/>
              <w:bottom w:val="single" w:color="000000" w:sz="8"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托管单位在运营管理过程中应当严格遵守能源管理使用的法律、法规、规章制度，因违章操作或不尽职尽责导致在运行期间出现安全事故和经济损失由托管单位自行负责。</w:t>
            </w:r>
          </w:p>
        </w:tc>
        <w:tc>
          <w:tcPr>
            <w:tcW w:w="490" w:type="pct"/>
            <w:tcBorders>
              <w:top w:val="single" w:color="auto" w:sz="4" w:space="0"/>
              <w:left w:val="nil"/>
              <w:bottom w:val="single" w:color="000000" w:sz="8"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4</w:t>
            </w:r>
          </w:p>
        </w:tc>
        <w:tc>
          <w:tcPr>
            <w:tcW w:w="693" w:type="pct"/>
            <w:tcBorders>
              <w:top w:val="single" w:color="auto" w:sz="4" w:space="0"/>
              <w:left w:val="nil"/>
              <w:bottom w:val="single" w:color="000000" w:sz="8"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符合4，基本符合2，不符合0</w:t>
            </w:r>
          </w:p>
        </w:tc>
        <w:tc>
          <w:tcPr>
            <w:tcW w:w="288" w:type="pct"/>
            <w:tcBorders>
              <w:top w:val="single" w:color="auto" w:sz="4" w:space="0"/>
              <w:left w:val="nil"/>
              <w:bottom w:val="single" w:color="000000" w:sz="8" w:space="0"/>
              <w:right w:val="single" w:color="000000" w:sz="8" w:space="0"/>
            </w:tcBorders>
            <w:tcMar>
              <w:top w:w="17" w:type="dxa"/>
              <w:left w:w="17" w:type="dxa"/>
              <w:right w:w="17" w:type="dxa"/>
            </w:tcMa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955"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21</w:t>
            </w:r>
          </w:p>
        </w:tc>
        <w:tc>
          <w:tcPr>
            <w:tcW w:w="477" w:type="pct"/>
            <w:vMerge w:val="continue"/>
            <w:tcBorders>
              <w:top w:val="single" w:color="000000" w:sz="8" w:space="0"/>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ind w:left="210" w:leftChars="100"/>
              <w:textAlignment w:val="auto"/>
              <w:rPr>
                <w:rFonts w:hint="eastAsia" w:asciiTheme="minorEastAsia" w:hAnsiTheme="minorEastAsia" w:eastAsiaTheme="minorEastAsia" w:cstheme="minorEastAsia"/>
                <w:snapToGrid/>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托管单位进行的节能改造部分，由于托管单位原因导致改造自身存在系统缺陷或施工质量导致安全事故和经济损失由托管单位负责。</w:t>
            </w:r>
          </w:p>
        </w:tc>
        <w:tc>
          <w:tcPr>
            <w:tcW w:w="490"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3</w:t>
            </w:r>
          </w:p>
        </w:tc>
        <w:tc>
          <w:tcPr>
            <w:tcW w:w="693" w:type="pct"/>
            <w:tcBorders>
              <w:top w:val="nil"/>
              <w:left w:val="nil"/>
              <w:bottom w:val="single" w:color="000000" w:sz="8" w:space="0"/>
              <w:right w:val="single" w:color="000000" w:sz="8" w:space="0"/>
            </w:tcBorders>
            <w:tcMar>
              <w:top w:w="17" w:type="dxa"/>
              <w:left w:w="17" w:type="dxa"/>
              <w:right w:w="17" w:type="dxa"/>
            </w:tcMar>
          </w:tcPr>
          <w:p>
            <w:pPr>
              <w:kinsoku/>
              <w:autoSpaceDE/>
              <w:autoSpaceDN/>
              <w:adjustRightInd/>
              <w:snapToGrid/>
              <w:jc w:val="center"/>
              <w:textAlignment w:val="top"/>
              <w:rPr>
                <w:rFonts w:hint="eastAsia" w:asciiTheme="minorEastAsia" w:hAnsiTheme="minorEastAsia" w:eastAsiaTheme="minorEastAsia" w:cstheme="minorEastAsia"/>
                <w:snapToGrid/>
                <w:sz w:val="24"/>
                <w:szCs w:val="24"/>
                <w:highlight w:val="none"/>
                <w:lang w:bidi="ar"/>
              </w:rPr>
            </w:pPr>
            <w:r>
              <w:rPr>
                <w:rFonts w:hint="eastAsia" w:asciiTheme="minorEastAsia" w:hAnsiTheme="minorEastAsia" w:eastAsiaTheme="minorEastAsia" w:cstheme="minorEastAsia"/>
                <w:snapToGrid/>
                <w:sz w:val="24"/>
                <w:szCs w:val="24"/>
                <w:highlight w:val="none"/>
                <w:lang w:bidi="ar"/>
              </w:rPr>
              <w:t>符合3，基本符合2，不符合0</w:t>
            </w:r>
          </w:p>
        </w:tc>
        <w:tc>
          <w:tcPr>
            <w:tcW w:w="288" w:type="pct"/>
            <w:tcBorders>
              <w:top w:val="nil"/>
              <w:left w:val="nil"/>
              <w:bottom w:val="single" w:color="000000" w:sz="8" w:space="0"/>
              <w:right w:val="single" w:color="000000" w:sz="8" w:space="0"/>
            </w:tcBorders>
            <w:tcMar>
              <w:top w:w="17" w:type="dxa"/>
              <w:left w:w="17" w:type="dxa"/>
              <w:right w:w="17" w:type="dxa"/>
            </w:tcMa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680"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22</w:t>
            </w:r>
          </w:p>
        </w:tc>
        <w:tc>
          <w:tcPr>
            <w:tcW w:w="477" w:type="pct"/>
            <w:vMerge w:val="continue"/>
            <w:tcBorders>
              <w:top w:val="single" w:color="000000" w:sz="8" w:space="0"/>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textAlignment w:val="auto"/>
              <w:rPr>
                <w:rFonts w:hint="eastAsia" w:asciiTheme="minorEastAsia" w:hAnsiTheme="minorEastAsia" w:eastAsiaTheme="minorEastAsia" w:cstheme="minorEastAsia"/>
                <w:snapToGrid/>
                <w:color w:val="FF0000"/>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设备管理要做到三干净，设备干净、机房干净、工作场地干净，四不漏，不漏电、不漏油、不漏气、不漏水。</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3</w:t>
            </w:r>
          </w:p>
        </w:tc>
        <w:tc>
          <w:tcPr>
            <w:tcW w:w="693"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符合3，基本符合2，不符合0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r>
        <w:tblPrEx>
          <w:tblCellMar>
            <w:top w:w="0" w:type="dxa"/>
            <w:left w:w="0" w:type="dxa"/>
            <w:bottom w:w="0" w:type="dxa"/>
            <w:right w:w="0" w:type="dxa"/>
          </w:tblCellMar>
        </w:tblPrEx>
        <w:trPr>
          <w:trHeight w:val="680" w:hRule="atLeast"/>
          <w:jc w:val="center"/>
        </w:trPr>
        <w:tc>
          <w:tcPr>
            <w:tcW w:w="297" w:type="pct"/>
            <w:tcBorders>
              <w:top w:val="nil"/>
              <w:left w:val="single" w:color="000000" w:sz="8" w:space="0"/>
              <w:bottom w:val="single" w:color="000000" w:sz="8" w:space="0"/>
              <w:right w:val="single" w:color="000000" w:sz="8" w:space="0"/>
            </w:tcBorders>
            <w:tcMar>
              <w:top w:w="17" w:type="dxa"/>
              <w:left w:w="17" w:type="dxa"/>
              <w:right w:w="17" w:type="dxa"/>
            </w:tcMar>
            <w:vAlign w:val="center"/>
          </w:tcPr>
          <w:p>
            <w:pPr>
              <w:kinsoku/>
              <w:autoSpaceDE/>
              <w:autoSpaceDN/>
              <w:adjustRightInd/>
              <w:snapToGrid/>
              <w:jc w:val="center"/>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23</w:t>
            </w:r>
          </w:p>
        </w:tc>
        <w:tc>
          <w:tcPr>
            <w:tcW w:w="477" w:type="pct"/>
            <w:vMerge w:val="continue"/>
            <w:tcBorders>
              <w:top w:val="single" w:color="000000" w:sz="8" w:space="0"/>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textAlignment w:val="auto"/>
              <w:rPr>
                <w:rFonts w:hint="eastAsia" w:asciiTheme="minorEastAsia" w:hAnsiTheme="minorEastAsia" w:eastAsiaTheme="minorEastAsia" w:cstheme="minorEastAsia"/>
                <w:snapToGrid/>
                <w:color w:val="FF0000"/>
                <w:kern w:val="2"/>
                <w:sz w:val="24"/>
                <w:szCs w:val="24"/>
                <w:highlight w:val="none"/>
              </w:rPr>
            </w:pPr>
          </w:p>
        </w:tc>
        <w:tc>
          <w:tcPr>
            <w:tcW w:w="2752" w:type="pct"/>
            <w:tcBorders>
              <w:top w:val="nil"/>
              <w:left w:val="nil"/>
              <w:bottom w:val="single" w:color="000000" w:sz="8" w:space="0"/>
              <w:right w:val="single" w:color="000000" w:sz="8" w:space="0"/>
            </w:tcBorders>
            <w:tcMar>
              <w:top w:w="17" w:type="dxa"/>
              <w:left w:w="17" w:type="dxa"/>
              <w:right w:w="17" w:type="dxa"/>
            </w:tcMar>
            <w:vAlign w:val="center"/>
          </w:tcPr>
          <w:p>
            <w:pPr>
              <w:kinsoku/>
              <w:autoSpaceDE/>
              <w:autoSpaceDN/>
              <w:adjustRightInd/>
              <w:snapToGrid/>
              <w:textAlignment w:val="center"/>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五良好，设备使用性能良好、密封良好、润滑良好、坚固良好、调整良好。</w:t>
            </w:r>
          </w:p>
        </w:tc>
        <w:tc>
          <w:tcPr>
            <w:tcW w:w="490" w:type="pct"/>
            <w:tcBorders>
              <w:top w:val="nil"/>
              <w:left w:val="nil"/>
              <w:bottom w:val="single" w:color="000000" w:sz="8" w:space="0"/>
              <w:right w:val="single" w:color="000000" w:sz="8" w:space="0"/>
            </w:tcBorders>
            <w:tcMar>
              <w:top w:w="17" w:type="dxa"/>
              <w:left w:w="17" w:type="dxa"/>
              <w:right w:w="17" w:type="dxa"/>
            </w:tcMar>
            <w:vAlign w:val="center"/>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kern w:val="2"/>
                <w:sz w:val="24"/>
                <w:szCs w:val="24"/>
                <w:highlight w:val="none"/>
              </w:rPr>
              <w:t>3</w:t>
            </w:r>
          </w:p>
        </w:tc>
        <w:tc>
          <w:tcPr>
            <w:tcW w:w="693"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r>
              <w:rPr>
                <w:rFonts w:hint="eastAsia" w:asciiTheme="minorEastAsia" w:hAnsiTheme="minorEastAsia" w:eastAsiaTheme="minorEastAsia" w:cstheme="minorEastAsia"/>
                <w:snapToGrid/>
                <w:sz w:val="24"/>
                <w:szCs w:val="24"/>
                <w:highlight w:val="none"/>
                <w:lang w:bidi="ar"/>
              </w:rPr>
              <w:t>符合3，基本符合2，不符合0</w:t>
            </w:r>
          </w:p>
        </w:tc>
        <w:tc>
          <w:tcPr>
            <w:tcW w:w="288" w:type="pct"/>
            <w:tcBorders>
              <w:top w:val="nil"/>
              <w:left w:val="nil"/>
              <w:bottom w:val="single" w:color="000000" w:sz="8" w:space="0"/>
              <w:right w:val="single" w:color="000000" w:sz="8" w:space="0"/>
            </w:tcBorders>
            <w:tcMar>
              <w:top w:w="17" w:type="dxa"/>
              <w:left w:w="17" w:type="dxa"/>
              <w:right w:w="17" w:type="dxa"/>
            </w:tcMar>
            <w:vAlign w:val="bottom"/>
          </w:tcPr>
          <w:p>
            <w:pPr>
              <w:widowControl w:val="0"/>
              <w:kinsoku/>
              <w:autoSpaceDE/>
              <w:autoSpaceDN/>
              <w:adjustRightInd/>
              <w:snapToGrid/>
              <w:jc w:val="center"/>
              <w:textAlignment w:val="auto"/>
              <w:rPr>
                <w:rFonts w:hint="eastAsia" w:asciiTheme="minorEastAsia" w:hAnsiTheme="minorEastAsia" w:eastAsiaTheme="minorEastAsia" w:cstheme="minorEastAsia"/>
                <w:snapToGrid/>
                <w:kern w:val="2"/>
                <w:sz w:val="24"/>
                <w:szCs w:val="24"/>
                <w:highlight w:val="none"/>
              </w:rPr>
            </w:pPr>
          </w:p>
        </w:tc>
      </w:tr>
    </w:tbl>
    <w:p>
      <w:pPr>
        <w:spacing w:line="360" w:lineRule="auto"/>
        <w:rPr>
          <w:sz w:val="24"/>
          <w:szCs w:val="28"/>
        </w:rPr>
      </w:pPr>
      <w:r>
        <w:rPr>
          <w:rFonts w:hint="eastAsia" w:asciiTheme="minorEastAsia" w:hAnsiTheme="minorEastAsia" w:eastAsiaTheme="minorEastAsia" w:cstheme="minorEastAsia"/>
          <w:snapToGrid/>
          <w:color w:val="auto"/>
          <w:kern w:val="2"/>
          <w:sz w:val="24"/>
          <w:szCs w:val="32"/>
          <w:highlight w:val="none"/>
          <w:lang w:val="en-US" w:eastAsia="zh-CN"/>
        </w:rPr>
        <w:t>备注：医院</w:t>
      </w:r>
      <w:r>
        <w:rPr>
          <w:rFonts w:hint="eastAsia" w:asciiTheme="minorEastAsia" w:hAnsiTheme="minorEastAsia" w:eastAsiaTheme="minorEastAsia" w:cstheme="minorEastAsia"/>
          <w:snapToGrid/>
          <w:color w:val="auto"/>
          <w:kern w:val="2"/>
          <w:sz w:val="24"/>
          <w:szCs w:val="32"/>
          <w:highlight w:val="none"/>
        </w:rPr>
        <w:t>每季度组织一次对</w:t>
      </w:r>
      <w:r>
        <w:rPr>
          <w:rFonts w:hint="eastAsia" w:asciiTheme="minorEastAsia" w:hAnsiTheme="minorEastAsia" w:eastAsiaTheme="minorEastAsia" w:cstheme="minorEastAsia"/>
          <w:snapToGrid/>
          <w:color w:val="auto"/>
          <w:kern w:val="2"/>
          <w:sz w:val="24"/>
          <w:szCs w:val="32"/>
          <w:highlight w:val="none"/>
          <w:lang w:val="en-US" w:eastAsia="zh-CN"/>
        </w:rPr>
        <w:t>中标人</w:t>
      </w:r>
      <w:r>
        <w:rPr>
          <w:rFonts w:hint="eastAsia" w:asciiTheme="minorEastAsia" w:hAnsiTheme="minorEastAsia" w:eastAsiaTheme="minorEastAsia" w:cstheme="minorEastAsia"/>
          <w:snapToGrid/>
          <w:color w:val="auto"/>
          <w:kern w:val="2"/>
          <w:sz w:val="24"/>
          <w:szCs w:val="32"/>
          <w:highlight w:val="none"/>
        </w:rPr>
        <w:t>的托管服务进行考评，每年四次，四次考评得分的平均数作为年度考评得分；</w:t>
      </w:r>
      <w:r>
        <w:rPr>
          <w:rFonts w:hint="eastAsia" w:asciiTheme="minorEastAsia" w:hAnsiTheme="minorEastAsia" w:eastAsiaTheme="minorEastAsia" w:cstheme="minorEastAsia"/>
          <w:snapToGrid/>
          <w:color w:val="auto"/>
          <w:kern w:val="2"/>
          <w:sz w:val="24"/>
          <w:szCs w:val="32"/>
          <w:highlight w:val="none"/>
          <w:lang w:val="en-US" w:eastAsia="zh-CN"/>
        </w:rPr>
        <w:t>中标人</w:t>
      </w:r>
      <w:r>
        <w:rPr>
          <w:rFonts w:hint="eastAsia" w:asciiTheme="minorEastAsia" w:hAnsiTheme="minorEastAsia" w:eastAsiaTheme="minorEastAsia" w:cstheme="minorEastAsia"/>
          <w:snapToGrid/>
          <w:color w:val="auto"/>
          <w:kern w:val="2"/>
          <w:sz w:val="24"/>
          <w:szCs w:val="32"/>
          <w:highlight w:val="none"/>
        </w:rPr>
        <w:t>年度考评得分若低于80分，</w:t>
      </w:r>
      <w:r>
        <w:rPr>
          <w:rFonts w:hint="eastAsia" w:asciiTheme="minorEastAsia" w:hAnsiTheme="minorEastAsia" w:eastAsiaTheme="minorEastAsia" w:cstheme="minorEastAsia"/>
          <w:snapToGrid/>
          <w:color w:val="auto"/>
          <w:kern w:val="2"/>
          <w:sz w:val="24"/>
          <w:szCs w:val="32"/>
          <w:highlight w:val="none"/>
          <w:lang w:val="en-US" w:eastAsia="zh-CN"/>
        </w:rPr>
        <w:t>医院</w:t>
      </w:r>
      <w:r>
        <w:rPr>
          <w:rFonts w:hint="eastAsia" w:asciiTheme="minorEastAsia" w:hAnsiTheme="minorEastAsia" w:eastAsiaTheme="minorEastAsia" w:cstheme="minorEastAsia"/>
          <w:snapToGrid/>
          <w:color w:val="auto"/>
          <w:kern w:val="2"/>
          <w:sz w:val="24"/>
          <w:szCs w:val="32"/>
          <w:highlight w:val="none"/>
        </w:rPr>
        <w:t>将约谈</w:t>
      </w:r>
      <w:r>
        <w:rPr>
          <w:rFonts w:hint="eastAsia" w:asciiTheme="minorEastAsia" w:hAnsiTheme="minorEastAsia" w:eastAsiaTheme="minorEastAsia" w:cstheme="minorEastAsia"/>
          <w:snapToGrid/>
          <w:color w:val="auto"/>
          <w:kern w:val="2"/>
          <w:sz w:val="24"/>
          <w:szCs w:val="32"/>
          <w:highlight w:val="none"/>
          <w:lang w:val="en-US" w:eastAsia="zh-CN"/>
        </w:rPr>
        <w:t>中标人</w:t>
      </w:r>
      <w:r>
        <w:rPr>
          <w:rFonts w:hint="eastAsia" w:asciiTheme="minorEastAsia" w:hAnsiTheme="minorEastAsia" w:eastAsiaTheme="minorEastAsia" w:cstheme="minorEastAsia"/>
          <w:snapToGrid/>
          <w:color w:val="auto"/>
          <w:kern w:val="2"/>
          <w:sz w:val="24"/>
          <w:szCs w:val="32"/>
          <w:highlight w:val="none"/>
        </w:rPr>
        <w:t>，要求</w:t>
      </w:r>
      <w:r>
        <w:rPr>
          <w:rFonts w:hint="eastAsia" w:asciiTheme="minorEastAsia" w:hAnsiTheme="minorEastAsia" w:eastAsiaTheme="minorEastAsia" w:cstheme="minorEastAsia"/>
          <w:snapToGrid/>
          <w:color w:val="auto"/>
          <w:kern w:val="2"/>
          <w:sz w:val="24"/>
          <w:szCs w:val="32"/>
          <w:highlight w:val="none"/>
          <w:lang w:val="en-US" w:eastAsia="zh-CN"/>
        </w:rPr>
        <w:t>中标人</w:t>
      </w:r>
      <w:r>
        <w:rPr>
          <w:rFonts w:hint="eastAsia" w:asciiTheme="minorEastAsia" w:hAnsiTheme="minorEastAsia" w:eastAsiaTheme="minorEastAsia" w:cstheme="minorEastAsia"/>
          <w:snapToGrid/>
          <w:color w:val="auto"/>
          <w:kern w:val="2"/>
          <w:sz w:val="24"/>
          <w:szCs w:val="32"/>
          <w:highlight w:val="none"/>
        </w:rPr>
        <w:t>采取改进措施，提高服务质量；若年度考评得分低于70分，</w:t>
      </w:r>
      <w:r>
        <w:rPr>
          <w:rFonts w:hint="eastAsia" w:asciiTheme="minorEastAsia" w:hAnsiTheme="minorEastAsia" w:eastAsiaTheme="minorEastAsia" w:cstheme="minorEastAsia"/>
          <w:snapToGrid/>
          <w:color w:val="auto"/>
          <w:kern w:val="2"/>
          <w:sz w:val="24"/>
          <w:szCs w:val="32"/>
          <w:highlight w:val="none"/>
          <w:lang w:val="en-US" w:eastAsia="zh-CN"/>
        </w:rPr>
        <w:t>医院有权终止合同</w:t>
      </w:r>
      <w:r>
        <w:rPr>
          <w:rFonts w:hint="eastAsia" w:asciiTheme="minorEastAsia" w:hAnsiTheme="minorEastAsia" w:eastAsiaTheme="minorEastAsia" w:cstheme="minorEastAsia"/>
          <w:snapToGrid/>
          <w:color w:val="auto"/>
          <w:kern w:val="2"/>
          <w:sz w:val="24"/>
          <w:szCs w:val="32"/>
          <w:highlight w:val="none"/>
        </w:rPr>
        <w:t>。</w:t>
      </w:r>
    </w:p>
    <w:p>
      <w:pPr>
        <w:adjustRightInd w:val="0"/>
        <w:snapToGrid w:val="0"/>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使用中文字体)">
    <w:altName w:val="宋体"/>
    <w:panose1 w:val="00000000000000000000"/>
    <w:charset w:val="86"/>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6FD8C"/>
    <w:multiLevelType w:val="singleLevel"/>
    <w:tmpl w:val="BF46FD8C"/>
    <w:lvl w:ilvl="0" w:tentative="0">
      <w:start w:val="1"/>
      <w:numFmt w:val="decimal"/>
      <w:lvlText w:val="(%1)"/>
      <w:lvlJc w:val="left"/>
      <w:pPr>
        <w:ind w:left="425" w:hanging="425"/>
      </w:pPr>
      <w:rPr>
        <w:rFonts w:hint="default"/>
      </w:rPr>
    </w:lvl>
  </w:abstractNum>
  <w:abstractNum w:abstractNumId="1">
    <w:nsid w:val="E0619F8D"/>
    <w:multiLevelType w:val="singleLevel"/>
    <w:tmpl w:val="E0619F8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88"/>
    <w:rsid w:val="00013CE9"/>
    <w:rsid w:val="0001437B"/>
    <w:rsid w:val="00020BAE"/>
    <w:rsid w:val="0002417B"/>
    <w:rsid w:val="000534B9"/>
    <w:rsid w:val="00056C4B"/>
    <w:rsid w:val="00066814"/>
    <w:rsid w:val="00077AE3"/>
    <w:rsid w:val="00090AA7"/>
    <w:rsid w:val="000C4D4B"/>
    <w:rsid w:val="000C727C"/>
    <w:rsid w:val="000E4C2E"/>
    <w:rsid w:val="000E580C"/>
    <w:rsid w:val="00100056"/>
    <w:rsid w:val="00173B59"/>
    <w:rsid w:val="00187222"/>
    <w:rsid w:val="00191C41"/>
    <w:rsid w:val="001A3E61"/>
    <w:rsid w:val="001D126F"/>
    <w:rsid w:val="00213F95"/>
    <w:rsid w:val="0024361A"/>
    <w:rsid w:val="002530E1"/>
    <w:rsid w:val="00282A71"/>
    <w:rsid w:val="00282C83"/>
    <w:rsid w:val="002857B4"/>
    <w:rsid w:val="002C64BC"/>
    <w:rsid w:val="002E2B19"/>
    <w:rsid w:val="00314A5C"/>
    <w:rsid w:val="00334D25"/>
    <w:rsid w:val="00346FB3"/>
    <w:rsid w:val="0035277F"/>
    <w:rsid w:val="003547BD"/>
    <w:rsid w:val="003677E5"/>
    <w:rsid w:val="0038585B"/>
    <w:rsid w:val="00387CD0"/>
    <w:rsid w:val="003A0F03"/>
    <w:rsid w:val="003B561E"/>
    <w:rsid w:val="003C4F02"/>
    <w:rsid w:val="00401AB9"/>
    <w:rsid w:val="00415A79"/>
    <w:rsid w:val="00430098"/>
    <w:rsid w:val="00437D5F"/>
    <w:rsid w:val="004978FF"/>
    <w:rsid w:val="004C4C7C"/>
    <w:rsid w:val="004D0099"/>
    <w:rsid w:val="004D3A41"/>
    <w:rsid w:val="004F61CB"/>
    <w:rsid w:val="005005B1"/>
    <w:rsid w:val="0050508A"/>
    <w:rsid w:val="00546E82"/>
    <w:rsid w:val="00572C89"/>
    <w:rsid w:val="00593C35"/>
    <w:rsid w:val="005A1701"/>
    <w:rsid w:val="005A3F57"/>
    <w:rsid w:val="005A6D96"/>
    <w:rsid w:val="005A712A"/>
    <w:rsid w:val="0061790E"/>
    <w:rsid w:val="00627C72"/>
    <w:rsid w:val="00660502"/>
    <w:rsid w:val="00677E5C"/>
    <w:rsid w:val="00692E29"/>
    <w:rsid w:val="006C62F9"/>
    <w:rsid w:val="006E0B4B"/>
    <w:rsid w:val="006E3C9E"/>
    <w:rsid w:val="006E52C2"/>
    <w:rsid w:val="006F1810"/>
    <w:rsid w:val="00725707"/>
    <w:rsid w:val="00755892"/>
    <w:rsid w:val="00757C97"/>
    <w:rsid w:val="00760E94"/>
    <w:rsid w:val="007700C0"/>
    <w:rsid w:val="00783189"/>
    <w:rsid w:val="007867B9"/>
    <w:rsid w:val="00795A84"/>
    <w:rsid w:val="00800D0A"/>
    <w:rsid w:val="00825D8E"/>
    <w:rsid w:val="00831597"/>
    <w:rsid w:val="00843D26"/>
    <w:rsid w:val="00852397"/>
    <w:rsid w:val="008600CA"/>
    <w:rsid w:val="00874925"/>
    <w:rsid w:val="008820E7"/>
    <w:rsid w:val="008863F7"/>
    <w:rsid w:val="008D0EFC"/>
    <w:rsid w:val="008E29B9"/>
    <w:rsid w:val="008E39DA"/>
    <w:rsid w:val="008E63EA"/>
    <w:rsid w:val="008F2EC1"/>
    <w:rsid w:val="008F7299"/>
    <w:rsid w:val="0092460A"/>
    <w:rsid w:val="009338A5"/>
    <w:rsid w:val="00934948"/>
    <w:rsid w:val="00940F79"/>
    <w:rsid w:val="00944320"/>
    <w:rsid w:val="00950128"/>
    <w:rsid w:val="00951BA1"/>
    <w:rsid w:val="00966AFE"/>
    <w:rsid w:val="00981DCC"/>
    <w:rsid w:val="009B792D"/>
    <w:rsid w:val="00A065D4"/>
    <w:rsid w:val="00A42B5D"/>
    <w:rsid w:val="00A47E5F"/>
    <w:rsid w:val="00A838D5"/>
    <w:rsid w:val="00A94F28"/>
    <w:rsid w:val="00AA3521"/>
    <w:rsid w:val="00AE5BDC"/>
    <w:rsid w:val="00B03F3B"/>
    <w:rsid w:val="00B52F09"/>
    <w:rsid w:val="00B65DA3"/>
    <w:rsid w:val="00B9236F"/>
    <w:rsid w:val="00BA0A44"/>
    <w:rsid w:val="00BC4CE4"/>
    <w:rsid w:val="00BE3892"/>
    <w:rsid w:val="00BE3DCB"/>
    <w:rsid w:val="00C041A4"/>
    <w:rsid w:val="00C11C79"/>
    <w:rsid w:val="00C33086"/>
    <w:rsid w:val="00C80B94"/>
    <w:rsid w:val="00CE3A10"/>
    <w:rsid w:val="00D00C55"/>
    <w:rsid w:val="00D00D5B"/>
    <w:rsid w:val="00D10331"/>
    <w:rsid w:val="00D30E9A"/>
    <w:rsid w:val="00D60DF8"/>
    <w:rsid w:val="00DB11AB"/>
    <w:rsid w:val="00DB157F"/>
    <w:rsid w:val="00DC501F"/>
    <w:rsid w:val="00DF3C6A"/>
    <w:rsid w:val="00E03E04"/>
    <w:rsid w:val="00E2749C"/>
    <w:rsid w:val="00E34D7E"/>
    <w:rsid w:val="00E7197A"/>
    <w:rsid w:val="00EA5363"/>
    <w:rsid w:val="00EC6C24"/>
    <w:rsid w:val="00ED3109"/>
    <w:rsid w:val="00EE21A2"/>
    <w:rsid w:val="00EF3272"/>
    <w:rsid w:val="00F04C50"/>
    <w:rsid w:val="00F44F60"/>
    <w:rsid w:val="00F517DC"/>
    <w:rsid w:val="00F753D8"/>
    <w:rsid w:val="00FA6D88"/>
    <w:rsid w:val="00FD40B1"/>
    <w:rsid w:val="00FD6938"/>
    <w:rsid w:val="00FF0481"/>
    <w:rsid w:val="56320207"/>
    <w:rsid w:val="786D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简标宋" w:hAnsi="@微软简标宋" w:eastAsia="@微软简标宋" w:cs="@微软简标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outlineLvl w:val="0"/>
    </w:pPr>
    <w:rPr>
      <w:rFonts w:ascii="黑体" w:hAnsi="黑体"/>
      <w:sz w:val="28"/>
      <w:szCs w:val="24"/>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keepLines/>
      <w:spacing w:before="280" w:after="290" w:line="376" w:lineRule="auto"/>
      <w:outlineLvl w:val="3"/>
    </w:pPr>
    <w:rPr>
      <w:rFonts w:ascii="(使用中文字体)" w:hAnsi="(使用中文字体)" w:eastAsia="Cambria Math" w:cs="(使用中文字体)"/>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Indent 2"/>
    <w:basedOn w:val="1"/>
    <w:unhideWhenUsed/>
    <w:qFormat/>
    <w:uiPriority w:val="0"/>
    <w:pPr>
      <w:overflowPunct w:val="0"/>
      <w:spacing w:line="360" w:lineRule="auto"/>
      <w:ind w:firstLine="555"/>
    </w:pPr>
    <w:rPr>
      <w:sz w:val="20"/>
    </w:rPr>
  </w:style>
  <w:style w:type="paragraph" w:styleId="7">
    <w:name w:val="caption"/>
    <w:basedOn w:val="1"/>
    <w:next w:val="1"/>
    <w:semiHidden/>
    <w:unhideWhenUsed/>
    <w:qFormat/>
    <w:uiPriority w:val="35"/>
    <w:rPr>
      <w:rFonts w:eastAsia="黑体" w:asciiTheme="majorHAnsi" w:hAnsiTheme="majorHAnsi" w:cstheme="majorBidi"/>
      <w:sz w:val="20"/>
    </w:rPr>
  </w:style>
  <w:style w:type="paragraph" w:styleId="8">
    <w:name w:val="Body Text Indent"/>
    <w:basedOn w:val="1"/>
    <w:link w:val="24"/>
    <w:uiPriority w:val="0"/>
    <w:pPr>
      <w:ind w:firstLine="645"/>
    </w:pPr>
    <w:rPr>
      <w:rFonts w:ascii="楷体_GB2312" w:eastAsia="楷体_GB2312" w:hAnsiTheme="minorHAnsi" w:cstheme="minorBidi"/>
      <w:sz w:val="32"/>
      <w:szCs w:val="22"/>
    </w:rPr>
  </w:style>
  <w:style w:type="paragraph" w:styleId="9">
    <w:name w:val="Plain Text"/>
    <w:basedOn w:val="1"/>
    <w:link w:val="32"/>
    <w:unhideWhenUsed/>
    <w:qFormat/>
    <w:uiPriority w:val="0"/>
    <w:rPr>
      <w:rFonts w:eastAsiaTheme="minorEastAsia"/>
      <w:szCs w:val="21"/>
      <w:lang w:val="zh-CN"/>
    </w:rPr>
  </w:style>
  <w:style w:type="paragraph" w:styleId="10">
    <w:name w:val="Balloon Text"/>
    <w:basedOn w:val="1"/>
    <w:link w:val="27"/>
    <w:semiHidden/>
    <w:unhideWhenUsed/>
    <w:uiPriority w:val="99"/>
    <w:rPr>
      <w:sz w:val="18"/>
      <w:szCs w:val="18"/>
    </w:rPr>
  </w:style>
  <w:style w:type="paragraph" w:styleId="11">
    <w:name w:val="footer"/>
    <w:basedOn w:val="1"/>
    <w:link w:val="2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Body Text 2"/>
    <w:basedOn w:val="1"/>
    <w:link w:val="35"/>
    <w:semiHidden/>
    <w:unhideWhenUsed/>
    <w:uiPriority w:val="99"/>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Title"/>
    <w:basedOn w:val="1"/>
    <w:next w:val="1"/>
    <w:link w:val="26"/>
    <w:qFormat/>
    <w:uiPriority w:val="0"/>
    <w:pPr>
      <w:spacing w:before="240" w:after="60"/>
      <w:jc w:val="center"/>
      <w:outlineLvl w:val="0"/>
    </w:pPr>
    <w:rPr>
      <w:rFonts w:ascii="Cambria" w:hAnsi="Cambria"/>
      <w:b/>
      <w:bCs/>
      <w:sz w:val="32"/>
      <w:szCs w:val="32"/>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标题 1 Char"/>
    <w:basedOn w:val="18"/>
    <w:link w:val="3"/>
    <w:qFormat/>
    <w:uiPriority w:val="0"/>
    <w:rPr>
      <w:rFonts w:ascii="黑体" w:hAnsi="黑体" w:eastAsia="宋体" w:cs="Times New Roman"/>
      <w:sz w:val="28"/>
      <w:szCs w:val="24"/>
    </w:rPr>
  </w:style>
  <w:style w:type="character" w:customStyle="1" w:styleId="20">
    <w:name w:val="标题 2 Char"/>
    <w:basedOn w:val="18"/>
    <w:link w:val="4"/>
    <w:semiHidden/>
    <w:qFormat/>
    <w:uiPriority w:val="9"/>
    <w:rPr>
      <w:rFonts w:asciiTheme="majorHAnsi" w:hAnsiTheme="majorHAnsi" w:eastAsiaTheme="majorEastAsia" w:cstheme="majorBidi"/>
      <w:b/>
      <w:bCs/>
      <w:sz w:val="32"/>
      <w:szCs w:val="32"/>
    </w:rPr>
  </w:style>
  <w:style w:type="character" w:customStyle="1" w:styleId="21">
    <w:name w:val="页眉 Char"/>
    <w:basedOn w:val="18"/>
    <w:link w:val="12"/>
    <w:qFormat/>
    <w:uiPriority w:val="0"/>
    <w:rPr>
      <w:sz w:val="18"/>
      <w:szCs w:val="18"/>
    </w:rPr>
  </w:style>
  <w:style w:type="character" w:customStyle="1" w:styleId="22">
    <w:name w:val="页脚 Char"/>
    <w:basedOn w:val="18"/>
    <w:link w:val="11"/>
    <w:qFormat/>
    <w:uiPriority w:val="99"/>
    <w:rPr>
      <w:sz w:val="18"/>
      <w:szCs w:val="18"/>
    </w:rPr>
  </w:style>
  <w:style w:type="paragraph" w:customStyle="1" w:styleId="23">
    <w:name w:val="Char Char Char Char Char Char Char1 Char"/>
    <w:basedOn w:val="1"/>
    <w:qFormat/>
    <w:uiPriority w:val="0"/>
    <w:rPr>
      <w:rFonts w:ascii="Tahoma" w:hAnsi="Tahoma" w:eastAsia="仿宋_GB2312"/>
      <w:sz w:val="24"/>
      <w:szCs w:val="32"/>
    </w:rPr>
  </w:style>
  <w:style w:type="character" w:customStyle="1" w:styleId="24">
    <w:name w:val="正文文本缩进 Char"/>
    <w:link w:val="8"/>
    <w:qFormat/>
    <w:uiPriority w:val="0"/>
    <w:rPr>
      <w:rFonts w:ascii="楷体_GB2312" w:eastAsia="楷体_GB2312"/>
      <w:sz w:val="32"/>
    </w:rPr>
  </w:style>
  <w:style w:type="character" w:customStyle="1" w:styleId="25">
    <w:name w:val="正文文本缩进 Char1"/>
    <w:basedOn w:val="18"/>
    <w:semiHidden/>
    <w:qFormat/>
    <w:uiPriority w:val="99"/>
    <w:rPr>
      <w:rFonts w:ascii="Times New Roman" w:hAnsi="Times New Roman" w:eastAsia="宋体" w:cs="Times New Roman"/>
      <w:szCs w:val="20"/>
    </w:rPr>
  </w:style>
  <w:style w:type="character" w:customStyle="1" w:styleId="26">
    <w:name w:val="标题 Char"/>
    <w:basedOn w:val="18"/>
    <w:link w:val="15"/>
    <w:qFormat/>
    <w:uiPriority w:val="0"/>
    <w:rPr>
      <w:rFonts w:ascii="Cambria" w:hAnsi="Cambria" w:eastAsia="宋体" w:cs="Times New Roman"/>
      <w:b/>
      <w:bCs/>
      <w:sz w:val="32"/>
      <w:szCs w:val="32"/>
    </w:rPr>
  </w:style>
  <w:style w:type="character" w:customStyle="1" w:styleId="27">
    <w:name w:val="批注框文本 Char"/>
    <w:basedOn w:val="18"/>
    <w:link w:val="10"/>
    <w:semiHidden/>
    <w:qFormat/>
    <w:uiPriority w:val="99"/>
    <w:rPr>
      <w:rFonts w:ascii="Times New Roman" w:hAnsi="Times New Roman" w:eastAsia="宋体" w:cs="Times New Roman"/>
      <w:sz w:val="18"/>
      <w:szCs w:val="18"/>
    </w:rPr>
  </w:style>
  <w:style w:type="character" w:customStyle="1" w:styleId="28">
    <w:name w:val="apple-converted-space"/>
    <w:qFormat/>
    <w:uiPriority w:val="0"/>
  </w:style>
  <w:style w:type="paragraph" w:customStyle="1" w:styleId="29">
    <w:name w:val="正文1"/>
    <w:basedOn w:val="1"/>
    <w:qFormat/>
    <w:uiPriority w:val="0"/>
    <w:pPr>
      <w:spacing w:line="360" w:lineRule="auto"/>
      <w:ind w:firstLine="480" w:firstLineChars="200"/>
    </w:pPr>
    <w:rPr>
      <w:sz w:val="24"/>
      <w:szCs w:val="24"/>
    </w:rPr>
  </w:style>
  <w:style w:type="paragraph" w:customStyle="1" w:styleId="30">
    <w:name w:val="列出段落1"/>
    <w:basedOn w:val="1"/>
    <w:qFormat/>
    <w:uiPriority w:val="0"/>
    <w:pPr>
      <w:ind w:firstLine="420" w:firstLineChars="200"/>
    </w:pPr>
    <w:rPr>
      <w:szCs w:val="24"/>
    </w:rPr>
  </w:style>
  <w:style w:type="character" w:customStyle="1" w:styleId="31">
    <w:name w:val="标题 3 Char"/>
    <w:basedOn w:val="18"/>
    <w:link w:val="5"/>
    <w:semiHidden/>
    <w:qFormat/>
    <w:uiPriority w:val="9"/>
    <w:rPr>
      <w:rFonts w:ascii="Times New Roman" w:hAnsi="Times New Roman" w:eastAsia="宋体" w:cs="Times New Roman"/>
      <w:b/>
      <w:bCs/>
      <w:sz w:val="32"/>
      <w:szCs w:val="32"/>
    </w:rPr>
  </w:style>
  <w:style w:type="character" w:customStyle="1" w:styleId="32">
    <w:name w:val="纯文本 Char1"/>
    <w:link w:val="9"/>
    <w:qFormat/>
    <w:locked/>
    <w:uiPriority w:val="0"/>
    <w:rPr>
      <w:rFonts w:ascii="Times New Roman" w:hAnsi="Times New Roman" w:cs="Times New Roman"/>
      <w:szCs w:val="21"/>
      <w:lang w:val="zh-CN" w:eastAsia="zh-CN"/>
    </w:rPr>
  </w:style>
  <w:style w:type="character" w:customStyle="1" w:styleId="33">
    <w:name w:val="纯文本 Char"/>
    <w:basedOn w:val="18"/>
    <w:semiHidden/>
    <w:qFormat/>
    <w:uiPriority w:val="99"/>
    <w:rPr>
      <w:rFonts w:ascii="宋体" w:hAnsi="Courier New" w:eastAsia="宋体" w:cs="Courier New"/>
      <w:szCs w:val="21"/>
    </w:rPr>
  </w:style>
  <w:style w:type="paragraph" w:customStyle="1" w:styleId="34">
    <w:name w:val="图片"/>
    <w:basedOn w:val="1"/>
    <w:next w:val="7"/>
    <w:qFormat/>
    <w:uiPriority w:val="0"/>
    <w:pPr>
      <w:keepNext/>
    </w:pPr>
    <w:rPr>
      <w:rFonts w:ascii="Garamond" w:hAnsi="Garamond"/>
      <w:sz w:val="22"/>
      <w:szCs w:val="24"/>
    </w:rPr>
  </w:style>
  <w:style w:type="character" w:customStyle="1" w:styleId="35">
    <w:name w:val="正文文本 2 Char"/>
    <w:basedOn w:val="18"/>
    <w:link w:val="13"/>
    <w:semiHidden/>
    <w:qFormat/>
    <w:uiPriority w:val="99"/>
    <w:rPr>
      <w:rFonts w:ascii="Times New Roman" w:hAnsi="Times New Roman" w:eastAsia="宋体" w:cs="Times New Roman"/>
      <w:szCs w:val="20"/>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font51"/>
    <w:qFormat/>
    <w:uiPriority w:val="0"/>
    <w:rPr>
      <w:rFonts w:ascii="Arial" w:hAnsi="Arial" w:cs="Arial"/>
      <w:color w:val="000000"/>
      <w:sz w:val="18"/>
      <w:szCs w:val="18"/>
      <w:u w:val="none"/>
    </w:rPr>
  </w:style>
  <w:style w:type="character" w:customStyle="1" w:styleId="38">
    <w:name w:val="font71"/>
    <w:qFormat/>
    <w:uiPriority w:val="0"/>
    <w:rPr>
      <w:rFonts w:hint="eastAsia" w:ascii="宋体" w:hAnsi="宋体" w:eastAsia="宋体" w:cs="宋体"/>
      <w:color w:val="000000"/>
      <w:sz w:val="18"/>
      <w:szCs w:val="18"/>
      <w:u w:val="none"/>
    </w:rPr>
  </w:style>
  <w:style w:type="paragraph" w:customStyle="1" w:styleId="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
    <w:name w:val="标题 4 Char"/>
    <w:basedOn w:val="18"/>
    <w:link w:val="6"/>
    <w:qFormat/>
    <w:uiPriority w:val="0"/>
    <w:rPr>
      <w:rFonts w:ascii="(使用中文字体)" w:hAnsi="(使用中文字体)" w:eastAsia="Cambria Math" w:cs="(使用中文字体)"/>
      <w:b/>
      <w:bCs/>
      <w:sz w:val="28"/>
      <w:szCs w:val="28"/>
    </w:rPr>
  </w:style>
  <w:style w:type="paragraph" w:customStyle="1" w:styleId="41">
    <w:name w:val="正文_0"/>
    <w:qFormat/>
    <w:uiPriority w:val="0"/>
    <w:pPr>
      <w:widowControl w:val="0"/>
      <w:jc w:val="both"/>
    </w:pPr>
    <w:rPr>
      <w:rFonts w:ascii="幼圆" w:hAnsi="幼圆" w:eastAsia="宋体" w:cs="幼圆"/>
      <w:kern w:val="2"/>
      <w:sz w:val="21"/>
      <w:szCs w:val="22"/>
      <w:lang w:val="en-US" w:eastAsia="zh-CN" w:bidi="ar-SA"/>
    </w:rPr>
  </w:style>
  <w:style w:type="paragraph" w:customStyle="1" w:styleId="42">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47</Words>
  <Characters>47</Characters>
  <Lines>1</Lines>
  <Paragraphs>1</Paragraphs>
  <TotalTime>0</TotalTime>
  <ScaleCrop>false</ScaleCrop>
  <LinksUpToDate>false</LinksUpToDate>
  <CharactersWithSpaces>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2022-03-31T02:10:11Z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873B309C047544EDB2B8B55571FB6C94</vt:lpwstr>
  </property>
</Properties>
</file>