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ascii="宋体" w:hAnsi="宋体" w:eastAsia="宋体"/>
          <w:b/>
          <w:sz w:val="24"/>
          <w:szCs w:val="18"/>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全自动快速微生物质谱检测系统</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全自动化学发光分析仪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糖化血红蛋白分析仪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（一）全自动快速微生物质谱检测系统</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1、适用范围：用于微生物（细菌，厌氧菌，酵母菌，真菌，分枝杆菌等）的快速鉴定，菌种库数量≥2600种；包含15000种以上微生物菌株信息，资料库包含30000种以上不同菌株的图谱。</w:t>
      </w:r>
    </w:p>
    <w:p>
      <w:pPr>
        <w:spacing w:line="360" w:lineRule="auto"/>
        <w:ind w:firstLine="480" w:firstLineChars="200"/>
        <w:rPr>
          <w:rFonts w:hint="default" w:ascii="宋体" w:hAnsi="宋体" w:eastAsia="宋体"/>
          <w:sz w:val="24"/>
          <w:szCs w:val="18"/>
          <w:lang w:val="en-US" w:eastAsia="zh-CN"/>
        </w:rPr>
      </w:pPr>
      <w:r>
        <w:rPr>
          <w:rFonts w:hint="eastAsia" w:ascii="宋体" w:hAnsi="宋体" w:eastAsia="宋体"/>
          <w:sz w:val="24"/>
          <w:szCs w:val="18"/>
          <w:lang w:val="en-US" w:eastAsia="zh-CN"/>
        </w:rPr>
        <w:t>2、配套检测试剂盒：普通细菌检测试剂盒、真菌检测试剂盒、分枝杆菌检测试剂盒、诺卡菌检测试剂盒、霉菌检测试剂盒。</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3、技术指标</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 1-50Hz可变重复频率的N2激光，可使用6000万次射击，适用于不同的MALDI样品制备方法，对于高质量分析，不损失线性模式性能</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3.2 m/z范围：1-500 kDa（线性模式）</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3.3质量分辨率：≥5000 FWH</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3.4质量准确度：内标法＜30 ppm，外标法＜200 ppm </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3.5灵敏度：线性模式灵敏度250 amol</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3.6飞行管长度≥1.20 米</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3.7高通量：≥192样本/次</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3.8离子源无需日常清洗，在宽质量范围内同时获得最高的分辨率</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3.9样品板：提供一次性靶板或重复使用的靶板，每块靶板独立条码，满足全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程溯源性要求。</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3.10检测方法：采用MALDI-TOF质谱鉴定方法，针对常规细菌无需前处理步骤，提供商品化试剂盒，即取即用，无需手工配置。</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3.11质量控制：采用ATCC标准质控菌株做校准，每次分析通过三个独立质控。</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3.12提供单一的鉴定结果，方便直接传输鉴定菌名与药敏结果自动进行匹配，减少科室工作量。</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3.13应用于质谱分析系统的培养基种类≥40种</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3.14具备双数据库系统：临床数据库，采用权重矩阵原理，平均每个菌种的菌株数大于10株，用于临床诊断；科研数据库，采用图谱比对原理，用于学术研究。</w:t>
      </w:r>
      <w:r>
        <w:rPr>
          <w:rFonts w:hint="eastAsia" w:ascii="宋体" w:hAnsi="宋体" w:eastAsia="宋体"/>
          <w:sz w:val="24"/>
          <w:szCs w:val="18"/>
          <w:lang w:val="en-US" w:eastAsia="zh-CN"/>
        </w:rPr>
        <w:tab/>
      </w:r>
    </w:p>
    <w:p>
      <w:pPr>
        <w:spacing w:line="360" w:lineRule="auto"/>
        <w:ind w:firstLine="480" w:firstLineChars="200"/>
        <w:rPr>
          <w:rFonts w:hint="default" w:ascii="宋体" w:hAnsi="宋体" w:eastAsia="宋体"/>
          <w:sz w:val="24"/>
          <w:szCs w:val="18"/>
          <w:lang w:val="en-US" w:eastAsia="zh-CN"/>
        </w:rPr>
      </w:pPr>
      <w:r>
        <w:rPr>
          <w:rFonts w:hint="eastAsia" w:ascii="宋体" w:hAnsi="宋体" w:eastAsia="宋体"/>
          <w:sz w:val="24"/>
          <w:szCs w:val="18"/>
          <w:lang w:val="en-US" w:eastAsia="zh-CN"/>
        </w:rPr>
        <w:t>3.15数据库标配分枝杆菌数据库和霉菌数据库，鉴定菌种如更新，更新后须向采购人提供注册证扫描件备案。</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3.16配套软件，可连接鉴定药敏和血培养设备，具备数据的采集和统计功能，质谱鉴定结果与药敏结果直接匹配，无缝传输至LIS/HIS系统，缩短TAT时间。</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3.17软件配有远程诊断功能，设备可通过网络快速获得厂家售后团队的诊断和维护。</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3.18设备硬件配置：包括预处理站、数据采集服务器、质谱仪主机、临床诊断数据库、科研学术数据库，微生物实验室管理系统工作站等</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4、售后服务</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4.1免费质保期满后只收取配件费，免人工费。</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4.2维修响应时间2小时内,售后人员12小时到达现场,24小时解决问题。</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4.3设备停产后，零配件保持供应10年以上。</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4.4</w:t>
      </w:r>
      <w:r>
        <w:rPr>
          <w:rFonts w:hint="eastAsia" w:ascii="宋体" w:hAnsi="宋体" w:eastAsia="宋体"/>
          <w:b w:val="0"/>
          <w:bCs w:val="0"/>
          <w:sz w:val="24"/>
          <w:szCs w:val="18"/>
          <w:lang w:val="en-US" w:eastAsia="zh-CN"/>
        </w:rPr>
        <w:t>成交供应商须提供本地化售后服务</w:t>
      </w:r>
      <w:r>
        <w:rPr>
          <w:rFonts w:hint="eastAsia" w:ascii="宋体" w:hAnsi="宋体" w:eastAsia="宋体"/>
          <w:b/>
          <w:bCs/>
          <w:sz w:val="24"/>
          <w:szCs w:val="18"/>
          <w:lang w:val="en-US" w:eastAsia="zh-CN"/>
        </w:rPr>
        <w:t>（响应文件中提供安徽省内售后服务点的地址及联系方式或承诺合同签订后即设立安徽省内售后服务点）。</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（二）全自动化学发光分析仪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1、发光原理：异鲁米诺标记的非酶参与直接化学发光（管式）</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★2、测试速度：≥180测试/小时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3、第一份结果出来所用时间≤17分钟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4、样本处理模式：随机、急诊、批处理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5、样本位：≥144个，测试过程中可连续装载，急诊优先</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6、采样针：钛合金材质，具备凝块探测功能，试剂存量检测功能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7、试剂位：≥15个，可连续装载、替换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★8、检测菜单≥90种项目，包含：甘胆酸、游离睾酮、甲状腺微粒体抗体、血清反三碘甲状腺原氨酸、胰岛素原、高血压肾素、醛固酮、胃泌素17、人尿微量白蛋白、EB病毒六项等</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9、试剂包装：集成式试剂盒，无需预处理，即开即用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10、试剂辨别：采用条形码射频识别技术读取试剂盒全部信息，瞬间完成</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11、试剂仓：具备冷藏功能，独立电源控制，保持试剂稳定</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12、标准品：每盒试剂自带标准品，无需另购，电子标签内置主曲线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13、定标方式：两点定标修正主曲线，稳定期≥2周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14、三种运行模式：随机、批量、急诊</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15、软件功能：标本稀释比例可任意选定，可汇总、存储、查询病人信息</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16、电脑配置：品牌电脑，预装正版WINDOWS系统、彩色触屏显示器</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17、联网功能：可通过COM口或网卡与医院LIS系统连续，实现远程数据共享</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（三）糖化血红蛋白分析仪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1、技术指标</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1.1检测原理：反相阳离子交换层析法（HPLC）</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1.2全自动分析仪：自动原始管进样，仪器自动识别样本并进行轨道推进进样，进样后自动进行样本处理、分离检测和结果报告</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1.3样本处理能力：循环方式最大100样本，或连续上样；增设样本架最大可达300样本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 检测速度：≤48秒/样本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1.5重复性：CV＜2%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1.6检测范围：HbA1c：3～20%（NGSP值）；HbF：0.3~5%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1.7结果报告：可同时报告IFCC和NGSP两个结果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1.8标本类型：全血或溶血标本，原始管可直接上机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 检测项目：HbA1c（稳定型HbA1c）、HbF</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2、硬件</w:t>
      </w:r>
      <w:r>
        <w:rPr>
          <w:rFonts w:hint="eastAsia" w:ascii="宋体" w:hAnsi="宋体" w:eastAsia="宋体"/>
          <w:b w:val="0"/>
          <w:bCs w:val="0"/>
          <w:sz w:val="24"/>
          <w:szCs w:val="18"/>
          <w:lang w:val="en-US" w:eastAsia="zh-CN"/>
        </w:rPr>
        <w:tab/>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2.1泵：3台活塞泵，1台蠕动泵</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2.2压力感应器模块：可控制泵压力，准确度≤5%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2.3分析柱加热模块，可控制分析柱温度稳定在40度，保证结果可靠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2.4条形码阅读器：具有自动识别样品管条形码的功能，自动识别校准架和质控架样本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2.5试剂模块：密封铝箔包装A液和B液，棕色避光瓶包装H液，避免光线对试剂的影响，避免溶解氧对试剂的影响。具有试剂感应功能，试剂余量直接在操作面板显示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2.6检测器：检测波长：420nm/500nm（双波长比色法）</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 层析柱：内置过滤器，预过滤器和层析柱一体化，无需更换过滤器，避免频繁更换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2.8结果打印：机内自带58mm宽热敏打印机，热敏纸打印结果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2.9数据传输：可双向Lis，接口RS-232C(标准)，Ethernet（备选）</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3.软件</w:t>
      </w:r>
      <w:r>
        <w:rPr>
          <w:rFonts w:hint="eastAsia" w:ascii="宋体" w:hAnsi="宋体" w:eastAsia="宋体"/>
          <w:b w:val="0"/>
          <w:bCs w:val="0"/>
          <w:sz w:val="24"/>
          <w:szCs w:val="18"/>
          <w:lang w:val="en-US" w:eastAsia="zh-CN"/>
        </w:rPr>
        <w:tab/>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3.1数据结构存储：可直接机内存储1100样本结果（含校准）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3.2样本数据查询：可直接机内系统查询对应样本号的检测结果、检测图谱等详细信息</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3.3实时泵压力显示：机上操作面板直接动态实时显示泵的压力变化</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3.4结果色谱图搜索查询：可根据样本编号、日期、样本类型的结果查询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3.5仪器可预约开机：可预约检测或流路清洗后仪器自动进入到睡眠状态。若选择下一次开机的星期数，则到指定星期数的指定时间，仪器可自动开机</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3.6报告内容详尽：包括样品色谱图，各种检测成分（峰成分、保留时间、峰面积、相对百分比含量）、分析的数据结果和时间</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ind w:firstLine="437"/>
        <w:rPr>
          <w:rFonts w:ascii="宋体" w:hAnsi="宋体" w:eastAsia="宋体"/>
          <w:bCs/>
          <w:sz w:val="24"/>
          <w:szCs w:val="1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p>
    <w:p>
      <w:pPr>
        <w:spacing w:line="360" w:lineRule="auto"/>
        <w:ind w:firstLine="437"/>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五、其他要求</w:t>
      </w:r>
    </w:p>
    <w:p>
      <w:pPr>
        <w:spacing w:line="360" w:lineRule="auto"/>
        <w:rPr>
          <w:rFonts w:ascii="宋体" w:hAnsi="宋体"/>
          <w:sz w:val="24"/>
          <w:szCs w:val="28"/>
        </w:rPr>
      </w:pPr>
      <w:r>
        <w:rPr>
          <w:rFonts w:hint="eastAsia" w:ascii="宋体" w:hAnsi="宋体" w:eastAsia="宋体"/>
          <w:sz w:val="24"/>
          <w:szCs w:val="18"/>
          <w:lang w:val="en-US" w:eastAsia="zh-CN"/>
        </w:rPr>
        <w:t>供应商所投全自动快速微生物质谱检测系统的配套检测试剂盒：普通细菌检测试剂盒、真菌检测试剂盒、分枝杆菌检测试剂盒、诺卡菌检测试剂盒、霉菌检测试剂盒具有医疗器械注册证，供货时提供随货提供注册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646C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8">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9">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0">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1260"/>
      <w:jc w:val="left"/>
    </w:pPr>
    <w:rPr>
      <w:szCs w:val="21"/>
    </w:rPr>
  </w:style>
  <w:style w:type="paragraph" w:styleId="12">
    <w:name w:val="table of authorities"/>
    <w:basedOn w:val="1"/>
    <w:next w:val="1"/>
    <w:qFormat/>
    <w:uiPriority w:val="0"/>
    <w:pPr>
      <w:ind w:left="420" w:leftChars="200"/>
    </w:pPr>
  </w:style>
  <w:style w:type="paragraph" w:styleId="13">
    <w:name w:val="index 8"/>
    <w:basedOn w:val="1"/>
    <w:next w:val="1"/>
    <w:uiPriority w:val="0"/>
    <w:pPr>
      <w:ind w:left="1400" w:leftChars="1400"/>
    </w:pPr>
  </w:style>
  <w:style w:type="paragraph" w:styleId="14">
    <w:name w:val="List Number"/>
    <w:basedOn w:val="1"/>
    <w:unhideWhenUsed/>
    <w:qFormat/>
    <w:uiPriority w:val="0"/>
    <w:rPr>
      <w:rFonts w:ascii="黑体" w:hAnsi="Arial" w:eastAsia="黑体"/>
      <w:szCs w:val="24"/>
    </w:rPr>
  </w:style>
  <w:style w:type="paragraph" w:styleId="15">
    <w:name w:val="Normal Indent"/>
    <w:basedOn w:val="1"/>
    <w:link w:val="118"/>
    <w:qFormat/>
    <w:uiPriority w:val="0"/>
    <w:pPr>
      <w:spacing w:after="156"/>
      <w:ind w:firstLine="420"/>
    </w:pPr>
    <w:rPr>
      <w:rFonts w:ascii="Calibri" w:hAnsi="Calibri" w:cs="Plotter"/>
      <w:sz w:val="24"/>
      <w:szCs w:val="24"/>
    </w:rPr>
  </w:style>
  <w:style w:type="paragraph" w:styleId="16">
    <w:name w:val="caption"/>
    <w:basedOn w:val="1"/>
    <w:next w:val="1"/>
    <w:qFormat/>
    <w:uiPriority w:val="0"/>
    <w:rPr>
      <w:rFonts w:ascii="Calibri Light" w:hAnsi="Calibri Light" w:eastAsia="黑体"/>
      <w:sz w:val="20"/>
    </w:rPr>
  </w:style>
  <w:style w:type="paragraph" w:styleId="17">
    <w:name w:val="index 5"/>
    <w:basedOn w:val="1"/>
    <w:next w:val="1"/>
    <w:uiPriority w:val="0"/>
    <w:pPr>
      <w:ind w:left="800" w:leftChars="800"/>
    </w:pPr>
  </w:style>
  <w:style w:type="paragraph" w:styleId="18">
    <w:name w:val="Document Map"/>
    <w:basedOn w:val="1"/>
    <w:link w:val="92"/>
    <w:qFormat/>
    <w:uiPriority w:val="0"/>
    <w:pPr>
      <w:shd w:val="clear" w:color="auto" w:fill="000080"/>
    </w:p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14"/>
    <w:qFormat/>
    <w:uiPriority w:val="0"/>
    <w:pPr>
      <w:jc w:val="left"/>
    </w:pPr>
  </w:style>
  <w:style w:type="paragraph" w:styleId="21">
    <w:name w:val="index 6"/>
    <w:basedOn w:val="1"/>
    <w:next w:val="1"/>
    <w:uiPriority w:val="0"/>
    <w:pPr>
      <w:ind w:left="1000" w:leftChars="1000"/>
    </w:pPr>
  </w:style>
  <w:style w:type="paragraph" w:styleId="22">
    <w:name w:val="Body Text 3"/>
    <w:basedOn w:val="1"/>
    <w:link w:val="93"/>
    <w:qFormat/>
    <w:uiPriority w:val="99"/>
    <w:rPr>
      <w:rFonts w:ascii="黑体" w:hAnsi="Arial" w:eastAsia="黑体"/>
      <w:b/>
      <w:sz w:val="28"/>
    </w:rPr>
  </w:style>
  <w:style w:type="paragraph" w:styleId="23">
    <w:name w:val="List Bullet 3"/>
    <w:basedOn w:val="1"/>
    <w:unhideWhenUsed/>
    <w:qFormat/>
    <w:uiPriority w:val="0"/>
    <w:pPr>
      <w:adjustRightInd w:val="0"/>
      <w:spacing w:line="360" w:lineRule="atLeast"/>
      <w:contextualSpacing/>
      <w:jc w:val="left"/>
    </w:pPr>
    <w:rPr>
      <w:kern w:val="0"/>
      <w:sz w:val="24"/>
    </w:rPr>
  </w:style>
  <w:style w:type="paragraph" w:styleId="24">
    <w:name w:val="Body Text"/>
    <w:basedOn w:val="1"/>
    <w:link w:val="90"/>
    <w:uiPriority w:val="99"/>
    <w:rPr>
      <w:rFonts w:ascii="宋体" w:hAnsi="Arial"/>
      <w:sz w:val="28"/>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uiPriority w:val="0"/>
    <w:pPr>
      <w:ind w:left="600" w:leftChars="600"/>
    </w:pPr>
  </w:style>
  <w:style w:type="paragraph" w:styleId="29">
    <w:name w:val="toc 5"/>
    <w:basedOn w:val="1"/>
    <w:next w:val="1"/>
    <w:uiPriority w:val="39"/>
    <w:pPr>
      <w:ind w:left="840"/>
      <w:jc w:val="left"/>
    </w:pPr>
    <w:rPr>
      <w:szCs w:val="21"/>
    </w:rPr>
  </w:style>
  <w:style w:type="paragraph" w:styleId="30">
    <w:name w:val="toc 3"/>
    <w:basedOn w:val="1"/>
    <w:next w:val="1"/>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uiPriority w:val="0"/>
    <w:pPr>
      <w:ind w:left="1470"/>
      <w:jc w:val="left"/>
    </w:pPr>
    <w:rPr>
      <w:szCs w:val="21"/>
    </w:rPr>
  </w:style>
  <w:style w:type="paragraph" w:styleId="33">
    <w:name w:val="index 3"/>
    <w:basedOn w:val="1"/>
    <w:next w:val="1"/>
    <w:uiPriority w:val="0"/>
    <w:pPr>
      <w:ind w:left="400" w:leftChars="400"/>
    </w:pPr>
  </w:style>
  <w:style w:type="paragraph" w:styleId="34">
    <w:name w:val="Date"/>
    <w:basedOn w:val="1"/>
    <w:next w:val="1"/>
    <w:link w:val="89"/>
    <w:uiPriority w:val="0"/>
    <w:rPr>
      <w:b/>
      <w:sz w:val="28"/>
    </w:rPr>
  </w:style>
  <w:style w:type="paragraph" w:styleId="35">
    <w:name w:val="Body Text Indent 2"/>
    <w:basedOn w:val="1"/>
    <w:link w:val="85"/>
    <w:qFormat/>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uiPriority w:val="39"/>
    <w:pPr>
      <w:spacing w:before="120" w:after="120"/>
      <w:jc w:val="left"/>
    </w:pPr>
    <w:rPr>
      <w:caps/>
      <w:sz w:val="18"/>
      <w:szCs w:val="24"/>
    </w:rPr>
  </w:style>
  <w:style w:type="paragraph" w:styleId="40">
    <w:name w:val="toc 4"/>
    <w:basedOn w:val="1"/>
    <w:next w:val="1"/>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uiPriority w:val="0"/>
    <w:pPr>
      <w:ind w:left="1050"/>
      <w:jc w:val="left"/>
    </w:pPr>
    <w:rPr>
      <w:szCs w:val="21"/>
    </w:rPr>
  </w:style>
  <w:style w:type="paragraph" w:styleId="46">
    <w:name w:val="Body Text Indent 3"/>
    <w:basedOn w:val="1"/>
    <w:link w:val="88"/>
    <w:uiPriority w:val="0"/>
    <w:pPr>
      <w:ind w:firstLine="645"/>
    </w:pPr>
    <w:rPr>
      <w:rFonts w:ascii="仿宋_GB2312" w:hAnsi="Arial" w:eastAsia="仿宋_GB2312"/>
      <w:color w:val="000000"/>
      <w:sz w:val="30"/>
    </w:rPr>
  </w:style>
  <w:style w:type="paragraph" w:styleId="47">
    <w:name w:val="index 7"/>
    <w:basedOn w:val="1"/>
    <w:next w:val="1"/>
    <w:uiPriority w:val="0"/>
    <w:pPr>
      <w:ind w:left="1200" w:leftChars="1200"/>
    </w:pPr>
  </w:style>
  <w:style w:type="paragraph" w:styleId="48">
    <w:name w:val="index 9"/>
    <w:basedOn w:val="1"/>
    <w:next w:val="1"/>
    <w:uiPriority w:val="0"/>
    <w:pPr>
      <w:ind w:left="1600" w:leftChars="1600"/>
    </w:pPr>
  </w:style>
  <w:style w:type="paragraph" w:styleId="49">
    <w:name w:val="toc 2"/>
    <w:basedOn w:val="1"/>
    <w:next w:val="1"/>
    <w:uiPriority w:val="39"/>
    <w:pPr>
      <w:ind w:left="210"/>
      <w:jc w:val="left"/>
    </w:pPr>
    <w:rPr>
      <w:smallCaps/>
      <w:sz w:val="18"/>
      <w:szCs w:val="24"/>
    </w:rPr>
  </w:style>
  <w:style w:type="paragraph" w:styleId="50">
    <w:name w:val="toc 9"/>
    <w:basedOn w:val="1"/>
    <w:next w:val="1"/>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0"/>
    <w:next w:val="20"/>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3"/>
    <w:qFormat/>
    <w:uiPriority w:val="0"/>
    <w:rPr>
      <w:rFonts w:ascii="Arial" w:hAnsi="Arial" w:eastAsia="黑体" w:cs="Times New Roman"/>
      <w:b/>
      <w:bCs/>
      <w:sz w:val="32"/>
      <w:szCs w:val="32"/>
    </w:rPr>
  </w:style>
  <w:style w:type="character" w:customStyle="1" w:styleId="77">
    <w:name w:val="标题 5 Char"/>
    <w:basedOn w:val="60"/>
    <w:link w:val="6"/>
    <w:qFormat/>
    <w:uiPriority w:val="0"/>
    <w:rPr>
      <w:rFonts w:ascii="Times New Roman" w:hAnsi="Times New Roman" w:eastAsia="宋体" w:cs="Times New Roman"/>
      <w:b/>
      <w:bCs/>
      <w:sz w:val="28"/>
      <w:szCs w:val="28"/>
    </w:rPr>
  </w:style>
  <w:style w:type="character" w:customStyle="1" w:styleId="78">
    <w:name w:val="标题 1 Char"/>
    <w:basedOn w:val="60"/>
    <w:link w:val="2"/>
    <w:qFormat/>
    <w:uiPriority w:val="0"/>
    <w:rPr>
      <w:rFonts w:ascii="Times New Roman" w:hAnsi="Times New Roman" w:eastAsia="宋体" w:cs="Times New Roman"/>
      <w:b/>
      <w:bCs/>
      <w:kern w:val="44"/>
      <w:sz w:val="30"/>
      <w:szCs w:val="44"/>
    </w:rPr>
  </w:style>
  <w:style w:type="character" w:customStyle="1" w:styleId="79">
    <w:name w:val="标题 3 Char"/>
    <w:basedOn w:val="60"/>
    <w:link w:val="4"/>
    <w:uiPriority w:val="0"/>
    <w:rPr>
      <w:rFonts w:ascii="宋体" w:hAnsi="Times New Roman" w:eastAsia="宋体" w:cs="Times New Roman"/>
      <w:b/>
      <w:bCs/>
      <w:sz w:val="32"/>
      <w:szCs w:val="32"/>
    </w:rPr>
  </w:style>
  <w:style w:type="character" w:customStyle="1" w:styleId="80">
    <w:name w:val="标题 4 Char"/>
    <w:basedOn w:val="60"/>
    <w:link w:val="5"/>
    <w:qFormat/>
    <w:uiPriority w:val="0"/>
    <w:rPr>
      <w:rFonts w:ascii="Arial" w:hAnsi="Arial" w:eastAsia="黑体" w:cs="Times New Roman"/>
      <w:b/>
      <w:bCs/>
      <w:sz w:val="28"/>
      <w:szCs w:val="28"/>
    </w:rPr>
  </w:style>
  <w:style w:type="character" w:customStyle="1" w:styleId="81">
    <w:name w:val="标题 6 Char"/>
    <w:basedOn w:val="60"/>
    <w:link w:val="7"/>
    <w:qFormat/>
    <w:uiPriority w:val="0"/>
    <w:rPr>
      <w:rFonts w:ascii="宋体" w:hAnsi="宋体" w:eastAsia="宋体" w:cs="Times New Roman"/>
      <w:kern w:val="0"/>
      <w:sz w:val="28"/>
      <w:szCs w:val="20"/>
    </w:rPr>
  </w:style>
  <w:style w:type="character" w:customStyle="1" w:styleId="82">
    <w:name w:val="标题 7 Char"/>
    <w:basedOn w:val="60"/>
    <w:link w:val="8"/>
    <w:qFormat/>
    <w:uiPriority w:val="0"/>
    <w:rPr>
      <w:rFonts w:ascii="Arial" w:hAnsi="Arial" w:eastAsia="仿宋_GB2312" w:cs="Arial"/>
      <w:b/>
      <w:bCs/>
      <w:spacing w:val="-4"/>
      <w:sz w:val="24"/>
      <w:szCs w:val="24"/>
    </w:rPr>
  </w:style>
  <w:style w:type="character" w:customStyle="1" w:styleId="83">
    <w:name w:val="标题 8 Char"/>
    <w:basedOn w:val="60"/>
    <w:link w:val="9"/>
    <w:qFormat/>
    <w:uiPriority w:val="0"/>
    <w:rPr>
      <w:rFonts w:ascii="Times New Roman" w:hAnsi="Times New Roman" w:eastAsia="宋体" w:cs="Times New Roman"/>
      <w:kern w:val="0"/>
      <w:sz w:val="24"/>
      <w:szCs w:val="20"/>
    </w:rPr>
  </w:style>
  <w:style w:type="character" w:customStyle="1" w:styleId="84">
    <w:name w:val="标题 9 Char"/>
    <w:basedOn w:val="60"/>
    <w:link w:val="10"/>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qFormat/>
    <w:uiPriority w:val="0"/>
    <w:rPr>
      <w:rFonts w:ascii="Arial" w:hAnsi="Arial" w:eastAsia="仿宋_GB2312" w:cs="Times New Roman"/>
      <w:sz w:val="32"/>
      <w:szCs w:val="20"/>
    </w:rPr>
  </w:style>
  <w:style w:type="character" w:customStyle="1" w:styleId="86">
    <w:name w:val="纯文本 Char"/>
    <w:basedOn w:val="60"/>
    <w:uiPriority w:val="0"/>
    <w:rPr>
      <w:rFonts w:ascii="宋体" w:hAnsi="Courier New" w:eastAsia="宋体" w:cs="Courier New"/>
      <w:szCs w:val="21"/>
    </w:rPr>
  </w:style>
  <w:style w:type="character" w:customStyle="1" w:styleId="87">
    <w:name w:val="纯文本 Char1"/>
    <w:link w:val="31"/>
    <w:locked/>
    <w:uiPriority w:val="0"/>
    <w:rPr>
      <w:rFonts w:ascii="宋体" w:hAnsi="Courier New" w:eastAsia="宋体" w:cs="Times New Roman"/>
      <w:szCs w:val="20"/>
    </w:rPr>
  </w:style>
  <w:style w:type="character" w:customStyle="1" w:styleId="88">
    <w:name w:val="正文文本缩进 3 Char"/>
    <w:basedOn w:val="60"/>
    <w:link w:val="46"/>
    <w:uiPriority w:val="0"/>
    <w:rPr>
      <w:rFonts w:ascii="仿宋_GB2312" w:hAnsi="Arial" w:eastAsia="仿宋_GB2312" w:cs="Times New Roman"/>
      <w:color w:val="000000"/>
      <w:sz w:val="30"/>
      <w:szCs w:val="20"/>
    </w:rPr>
  </w:style>
  <w:style w:type="character" w:customStyle="1" w:styleId="89">
    <w:name w:val="日期 Char"/>
    <w:basedOn w:val="60"/>
    <w:link w:val="34"/>
    <w:uiPriority w:val="0"/>
    <w:rPr>
      <w:rFonts w:ascii="Times New Roman" w:hAnsi="Times New Roman" w:eastAsia="宋体" w:cs="Times New Roman"/>
      <w:b/>
      <w:sz w:val="28"/>
      <w:szCs w:val="20"/>
    </w:rPr>
  </w:style>
  <w:style w:type="character" w:customStyle="1" w:styleId="90">
    <w:name w:val="正文文本 Char"/>
    <w:basedOn w:val="60"/>
    <w:link w:val="24"/>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8"/>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2"/>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0"/>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5"/>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2"/>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4"/>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5"/>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3"/>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qFormat/>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qFormat/>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4"/>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3"/>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uiPriority w:val="0"/>
    <w:rPr>
      <w:rFonts w:ascii="Helvetica" w:hAnsi="Helvetica" w:eastAsia="宋体" w:cs="Arial Unicode MS"/>
      <w:color w:val="000000"/>
      <w:kern w:val="0"/>
      <w:sz w:val="22"/>
      <w:szCs w:val="22"/>
      <w:lang w:val="zh-CN" w:eastAsia="zh-CN" w:bidi="ar-SA"/>
    </w:rPr>
  </w:style>
  <w:style w:type="paragraph" w:customStyle="1" w:styleId="208">
    <w:name w:val="列出段落6"/>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uiPriority w:val="0"/>
    <w:rPr>
      <w:rFonts w:hint="default" w:ascii="Times New Roman" w:hAnsi="Times New Roman" w:cs="Times New Roman"/>
      <w:color w:val="000000"/>
      <w:sz w:val="22"/>
      <w:szCs w:val="22"/>
      <w:u w:val="none"/>
    </w:rPr>
  </w:style>
  <w:style w:type="character" w:customStyle="1" w:styleId="217">
    <w:name w:val="font71"/>
    <w:uiPriority w:val="0"/>
    <w:rPr>
      <w:rFonts w:hint="eastAsia" w:ascii="宋体" w:hAnsi="宋体" w:eastAsia="宋体" w:cs="宋体"/>
      <w:color w:val="000000"/>
      <w:sz w:val="21"/>
      <w:szCs w:val="21"/>
      <w:u w:val="none"/>
    </w:rPr>
  </w:style>
  <w:style w:type="character" w:customStyle="1" w:styleId="218">
    <w:name w:val="font61"/>
    <w:uiPriority w:val="0"/>
    <w:rPr>
      <w:rFonts w:hint="eastAsia" w:ascii="宋体" w:hAnsi="宋体" w:eastAsia="宋体" w:cs="宋体"/>
      <w:color w:val="000000"/>
      <w:sz w:val="22"/>
      <w:szCs w:val="22"/>
      <w:u w:val="none"/>
    </w:rPr>
  </w:style>
  <w:style w:type="paragraph" w:customStyle="1" w:styleId="219">
    <w:name w:val="图1"/>
    <w:basedOn w:val="1"/>
    <w:next w:val="1"/>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uiPriority w:val="0"/>
    <w:pPr>
      <w:widowControl/>
      <w:spacing w:after="160" w:line="240" w:lineRule="exact"/>
      <w:jc w:val="left"/>
    </w:pPr>
    <w:rPr>
      <w:kern w:val="0"/>
      <w:sz w:val="24"/>
      <w:szCs w:val="24"/>
    </w:rPr>
  </w:style>
  <w:style w:type="paragraph" w:customStyle="1" w:styleId="222">
    <w:name w:val="Default Paragraph Char Char Char Char"/>
    <w:basedOn w:val="1"/>
    <w:next w:val="1"/>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uiPriority w:val="0"/>
    <w:rPr>
      <w:rFonts w:ascii="Tahoma" w:hAnsi="Tahoma"/>
      <w:sz w:val="24"/>
      <w:szCs w:val="24"/>
    </w:rPr>
  </w:style>
  <w:style w:type="paragraph" w:customStyle="1" w:styleId="224">
    <w:name w:val="样式 宋体 五号 行距: 单倍行距"/>
    <w:basedOn w:val="1"/>
    <w:uiPriority w:val="0"/>
    <w:pPr>
      <w:adjustRightInd w:val="0"/>
      <w:jc w:val="left"/>
      <w:textAlignment w:val="baseline"/>
    </w:pPr>
    <w:rPr>
      <w:rFonts w:ascii="宋体" w:hAnsi="宋体"/>
      <w:kern w:val="0"/>
    </w:rPr>
  </w:style>
  <w:style w:type="paragraph" w:customStyle="1" w:styleId="225">
    <w:name w:val="Char3"/>
    <w:basedOn w:val="1"/>
    <w:uiPriority w:val="0"/>
    <w:rPr>
      <w:rFonts w:ascii="Tahoma" w:hAnsi="Tahoma"/>
      <w:sz w:val="24"/>
    </w:rPr>
  </w:style>
  <w:style w:type="paragraph" w:customStyle="1" w:styleId="226">
    <w:name w:val="正文无缩进"/>
    <w:basedOn w:val="1"/>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2021-12-30T02:41:59Z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C1C38CC65F9C456183AF0C6692A8785B</vt:lpwstr>
  </property>
</Properties>
</file>