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Theme="minorEastAsia" w:hAnsiTheme="minorEastAsia" w:eastAsiaTheme="minorEastAsia"/>
          <w:b/>
          <w:sz w:val="28"/>
        </w:rPr>
      </w:pPr>
      <w:bookmarkStart w:id="0" w:name="_Toc74754818"/>
      <w:r>
        <w:rPr>
          <w:rFonts w:hint="eastAsia" w:asciiTheme="minorEastAsia" w:hAnsiTheme="minorEastAsia" w:eastAsiaTheme="minorEastAsia"/>
          <w:b/>
          <w:sz w:val="28"/>
        </w:rPr>
        <w:t xml:space="preserve">  采购需求</w:t>
      </w:r>
      <w:bookmarkEnd w:id="0"/>
    </w:p>
    <w:p>
      <w:pPr>
        <w:jc w:val="center"/>
        <w:outlineLvl w:val="0"/>
        <w:rPr>
          <w:rFonts w:asciiTheme="minorHAnsi" w:hAnsiTheme="minorHAnsi" w:eastAsiaTheme="minorEastAsia" w:cstheme="minorBidi"/>
          <w:b/>
          <w:color w:val="FF0000"/>
          <w:sz w:val="24"/>
          <w:szCs w:val="22"/>
        </w:rPr>
      </w:pPr>
      <w:r>
        <w:rPr>
          <w:rFonts w:hint="eastAsia" w:asciiTheme="minorHAnsi" w:hAnsiTheme="minorHAnsi" w:eastAsiaTheme="minorEastAsia" w:cstheme="minorBidi"/>
          <w:b/>
          <w:color w:val="FF0000"/>
          <w:sz w:val="24"/>
          <w:szCs w:val="22"/>
        </w:rPr>
        <w:t>（仅供参考，最终以</w:t>
      </w:r>
      <w:r>
        <w:rPr>
          <w:rFonts w:hint="eastAsia" w:asciiTheme="minorHAnsi" w:hAnsiTheme="minorHAnsi" w:eastAsiaTheme="minorEastAsia" w:cstheme="minorBidi"/>
          <w:b/>
          <w:color w:val="FF0000"/>
          <w:sz w:val="24"/>
          <w:szCs w:val="22"/>
          <w:lang w:val="en-US" w:eastAsia="zh-CN"/>
        </w:rPr>
        <w:t>谈判</w:t>
      </w:r>
      <w:r>
        <w:rPr>
          <w:rFonts w:hint="eastAsia" w:asciiTheme="minorHAnsi" w:hAnsiTheme="minorHAnsi" w:eastAsiaTheme="minorEastAsia" w:cstheme="minorBidi"/>
          <w:b/>
          <w:color w:val="FF0000"/>
          <w:sz w:val="24"/>
          <w:szCs w:val="22"/>
        </w:rPr>
        <w:t>文件为准）</w:t>
      </w:r>
    </w:p>
    <w:p>
      <w:pPr>
        <w:spacing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前注：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18"/>
        </w:rPr>
      </w:pPr>
      <w:r>
        <w:rPr>
          <w:rFonts w:hint="eastAsia" w:asciiTheme="minorEastAsia" w:hAnsiTheme="minorEastAsia" w:eastAsiaTheme="minorEastAsia"/>
          <w:sz w:val="24"/>
        </w:rPr>
        <w:t>1.</w:t>
      </w:r>
      <w:r>
        <w:rPr>
          <w:rFonts w:ascii="宋体" w:hAnsi="宋体" w:eastAsia="宋体"/>
          <w:sz w:val="24"/>
          <w:szCs w:val="18"/>
        </w:rPr>
        <w:t>根据《关于规范政府采购进口产品有关工作的通知》及政府采购管理部门的相关规定，下列采购需求中</w:t>
      </w:r>
      <w:r>
        <w:rPr>
          <w:rFonts w:hint="eastAsia" w:ascii="宋体" w:hAnsi="宋体" w:eastAsia="宋体"/>
          <w:sz w:val="24"/>
          <w:szCs w:val="18"/>
        </w:rPr>
        <w:t>标注进口产品的货物均</w:t>
      </w:r>
      <w:r>
        <w:rPr>
          <w:rFonts w:ascii="宋体" w:hAnsi="宋体" w:eastAsia="宋体"/>
          <w:sz w:val="24"/>
          <w:szCs w:val="18"/>
        </w:rPr>
        <w:t>已履行相关论证手续，经核准采购进口</w:t>
      </w:r>
      <w:r>
        <w:rPr>
          <w:rFonts w:hint="eastAsia" w:ascii="宋体" w:hAnsi="宋体" w:eastAsia="宋体"/>
          <w:sz w:val="24"/>
          <w:szCs w:val="18"/>
        </w:rPr>
        <w:t>产品</w:t>
      </w:r>
      <w:r>
        <w:rPr>
          <w:rFonts w:ascii="宋体" w:hAnsi="宋体" w:eastAsia="宋体"/>
          <w:sz w:val="24"/>
          <w:szCs w:val="18"/>
        </w:rPr>
        <w:t>，但不限制满足</w:t>
      </w:r>
      <w:r>
        <w:rPr>
          <w:rFonts w:hint="eastAsia" w:ascii="宋体" w:hAnsi="宋体" w:eastAsia="宋体"/>
          <w:sz w:val="24"/>
          <w:szCs w:val="18"/>
        </w:rPr>
        <w:t>谈判</w:t>
      </w:r>
      <w:r>
        <w:rPr>
          <w:rFonts w:ascii="宋体" w:hAnsi="宋体" w:eastAsia="宋体"/>
          <w:sz w:val="24"/>
          <w:szCs w:val="18"/>
        </w:rPr>
        <w:t>文件要求的国内产品参与竞争</w:t>
      </w:r>
      <w:r>
        <w:rPr>
          <w:rFonts w:hint="eastAsia" w:ascii="宋体" w:hAnsi="宋体" w:eastAsia="宋体"/>
          <w:sz w:val="24"/>
          <w:szCs w:val="18"/>
        </w:rPr>
        <w:t>。未标注进口产品的货物均</w:t>
      </w:r>
      <w:r>
        <w:rPr>
          <w:rFonts w:ascii="宋体" w:hAnsi="宋体" w:eastAsia="宋体"/>
          <w:sz w:val="24"/>
          <w:szCs w:val="18"/>
        </w:rPr>
        <w:t>为拒绝采购进口产品</w:t>
      </w:r>
      <w:r>
        <w:rPr>
          <w:rFonts w:hint="eastAsia" w:ascii="宋体" w:hAnsi="宋体" w:eastAsia="宋体"/>
          <w:sz w:val="24"/>
          <w:szCs w:val="18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18"/>
        </w:rPr>
      </w:pPr>
      <w:r>
        <w:rPr>
          <w:rFonts w:hint="eastAsia" w:ascii="宋体" w:hAnsi="宋体" w:eastAsia="宋体"/>
          <w:sz w:val="24"/>
          <w:szCs w:val="18"/>
        </w:rPr>
        <w:t>2.下列采购需求中：如属于《节能产品政府采购品目清单》中政府强制采购的节能产品，则供应商所投产品须具有市场监管总局公布的《参与实施政府采购节能产品认证机构目录》中的认证机构出具的、处于有效期内的节能产品认证证书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18"/>
        </w:rPr>
      </w:pPr>
      <w:r>
        <w:rPr>
          <w:rFonts w:hint="eastAsia" w:ascii="宋体" w:hAnsi="宋体" w:eastAsia="宋体"/>
          <w:sz w:val="24"/>
          <w:szCs w:val="18"/>
        </w:rPr>
        <w:t>3.</w:t>
      </w:r>
      <w:r>
        <w:rPr>
          <w:rFonts w:ascii="宋体" w:hAnsi="宋体" w:eastAsia="宋体"/>
          <w:sz w:val="24"/>
          <w:szCs w:val="18"/>
        </w:rPr>
        <w:t>下列采购需求中：标注▲的产品</w:t>
      </w:r>
      <w:r>
        <w:rPr>
          <w:rFonts w:hint="eastAsia" w:ascii="宋体" w:hAnsi="宋体" w:eastAsia="宋体"/>
          <w:sz w:val="24"/>
          <w:szCs w:val="18"/>
        </w:rPr>
        <w:t>（核心产品）</w:t>
      </w:r>
      <w:r>
        <w:rPr>
          <w:rFonts w:ascii="宋体" w:hAnsi="宋体" w:eastAsia="宋体"/>
          <w:sz w:val="24"/>
          <w:szCs w:val="18"/>
        </w:rPr>
        <w:t>，</w:t>
      </w:r>
      <w:r>
        <w:rPr>
          <w:rFonts w:hint="eastAsia" w:ascii="宋体" w:hAnsi="宋体" w:eastAsia="宋体"/>
          <w:sz w:val="24"/>
          <w:szCs w:val="18"/>
        </w:rPr>
        <w:t>供应商</w:t>
      </w:r>
      <w:r>
        <w:rPr>
          <w:rFonts w:ascii="宋体" w:hAnsi="宋体" w:eastAsia="宋体"/>
          <w:sz w:val="24"/>
          <w:szCs w:val="18"/>
        </w:rPr>
        <w:t>在</w:t>
      </w:r>
      <w:r>
        <w:rPr>
          <w:rFonts w:hint="eastAsia" w:ascii="宋体" w:hAnsi="宋体" w:eastAsia="宋体"/>
          <w:sz w:val="24"/>
          <w:szCs w:val="18"/>
        </w:rPr>
        <w:t>响应</w:t>
      </w:r>
      <w:r>
        <w:rPr>
          <w:rFonts w:ascii="宋体" w:hAnsi="宋体" w:eastAsia="宋体"/>
          <w:sz w:val="24"/>
          <w:szCs w:val="18"/>
        </w:rPr>
        <w:t>文件《主要</w:t>
      </w:r>
      <w:r>
        <w:rPr>
          <w:rFonts w:hint="eastAsia" w:ascii="宋体" w:hAnsi="宋体" w:eastAsia="宋体"/>
          <w:sz w:val="24"/>
          <w:szCs w:val="18"/>
        </w:rPr>
        <w:t>成交标的</w:t>
      </w:r>
      <w:r>
        <w:rPr>
          <w:rFonts w:ascii="宋体" w:hAnsi="宋体" w:eastAsia="宋体"/>
          <w:sz w:val="24"/>
          <w:szCs w:val="18"/>
        </w:rPr>
        <w:t>承诺函》中填写名称、</w:t>
      </w:r>
      <w:r>
        <w:rPr>
          <w:rFonts w:hint="eastAsia" w:ascii="宋体" w:hAnsi="宋体" w:eastAsia="宋体"/>
          <w:sz w:val="24"/>
          <w:szCs w:val="18"/>
        </w:rPr>
        <w:t>品牌、</w:t>
      </w:r>
      <w:r>
        <w:rPr>
          <w:rFonts w:ascii="宋体" w:hAnsi="宋体" w:eastAsia="宋体"/>
          <w:sz w:val="24"/>
          <w:szCs w:val="18"/>
        </w:rPr>
        <w:t>规格、型号、数量、单价等信息</w:t>
      </w:r>
      <w:r>
        <w:rPr>
          <w:rFonts w:hint="eastAsia" w:ascii="宋体" w:hAnsi="宋体" w:eastAsia="宋体"/>
          <w:sz w:val="24"/>
          <w:szCs w:val="18"/>
        </w:rPr>
        <w:t>。</w:t>
      </w:r>
    </w:p>
    <w:p>
      <w:pPr>
        <w:spacing w:line="360" w:lineRule="auto"/>
        <w:ind w:firstLine="435"/>
        <w:rPr>
          <w:rFonts w:hint="eastAsia" w:asciiTheme="minorEastAsia" w:hAnsiTheme="minorEastAsia" w:eastAsiaTheme="minorEastAsia"/>
          <w:b/>
          <w:sz w:val="24"/>
          <w:szCs w:val="28"/>
        </w:rPr>
      </w:pPr>
      <w:r>
        <w:rPr>
          <w:rFonts w:hint="eastAsia" w:asciiTheme="minorEastAsia" w:hAnsiTheme="minorEastAsia" w:eastAsiaTheme="minorEastAsia"/>
          <w:b/>
          <w:sz w:val="24"/>
          <w:szCs w:val="28"/>
        </w:rPr>
        <w:t>4. 所投医疗器械须具有医疗器械注册证，</w:t>
      </w:r>
      <w:r>
        <w:rPr>
          <w:rFonts w:hint="eastAsia" w:asciiTheme="minorEastAsia" w:hAnsiTheme="minorEastAsia" w:eastAsiaTheme="minorEastAsia"/>
          <w:b/>
          <w:sz w:val="24"/>
          <w:szCs w:val="28"/>
          <w:lang w:val="en-US" w:eastAsia="zh-CN"/>
        </w:rPr>
        <w:t>响应</w:t>
      </w:r>
      <w:r>
        <w:rPr>
          <w:rFonts w:hint="eastAsia" w:asciiTheme="minorEastAsia" w:hAnsiTheme="minorEastAsia" w:eastAsiaTheme="minorEastAsia"/>
          <w:b/>
          <w:sz w:val="24"/>
          <w:szCs w:val="28"/>
        </w:rPr>
        <w:t>文件中须提供完整的证书扫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b/>
          <w:sz w:val="24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8"/>
        </w:rPr>
        <w:t>描件，否则</w:t>
      </w:r>
      <w:r>
        <w:rPr>
          <w:rFonts w:hint="eastAsia" w:asciiTheme="minorEastAsia" w:hAnsiTheme="minorEastAsia" w:eastAsiaTheme="minorEastAsia"/>
          <w:b/>
          <w:sz w:val="24"/>
          <w:szCs w:val="28"/>
          <w:lang w:val="en-US" w:eastAsia="zh-CN"/>
        </w:rPr>
        <w:t>响应</w:t>
      </w:r>
      <w:r>
        <w:rPr>
          <w:rFonts w:hint="eastAsia" w:asciiTheme="minorEastAsia" w:hAnsiTheme="minorEastAsia" w:eastAsiaTheme="minorEastAsia"/>
          <w:b/>
          <w:sz w:val="24"/>
          <w:szCs w:val="28"/>
        </w:rPr>
        <w:t>无效</w:t>
      </w:r>
      <w:r>
        <w:rPr>
          <w:rFonts w:hint="eastAsia" w:asciiTheme="minorEastAsia" w:hAnsiTheme="minorEastAsia" w:eastAsiaTheme="minorEastAsia"/>
          <w:b/>
          <w:sz w:val="24"/>
          <w:szCs w:val="28"/>
          <w:lang w:eastAsia="zh-CN"/>
        </w:rPr>
        <w:t>。</w:t>
      </w:r>
    </w:p>
    <w:p>
      <w:pPr>
        <w:spacing w:line="360" w:lineRule="auto"/>
        <w:ind w:firstLine="435"/>
        <w:rPr>
          <w:rFonts w:hint="eastAsia" w:asciiTheme="minorEastAsia" w:hAnsiTheme="minorEastAsia" w:eastAsiaTheme="minorEastAsia"/>
          <w:b/>
          <w:sz w:val="24"/>
          <w:szCs w:val="28"/>
        </w:rPr>
      </w:pPr>
      <w:r>
        <w:rPr>
          <w:rFonts w:hint="eastAsia" w:asciiTheme="minorEastAsia" w:hAnsiTheme="minorEastAsia" w:eastAsiaTheme="minorEastAsia"/>
          <w:b/>
          <w:sz w:val="24"/>
          <w:szCs w:val="28"/>
        </w:rPr>
        <w:t>5.标注“★”条款为产品关键性能参数，</w:t>
      </w:r>
      <w:r>
        <w:rPr>
          <w:rFonts w:hint="eastAsia" w:asciiTheme="minorEastAsia" w:hAnsiTheme="minorEastAsia" w:eastAsiaTheme="minorEastAsia"/>
          <w:b/>
          <w:sz w:val="24"/>
          <w:szCs w:val="28"/>
          <w:lang w:val="en-US" w:eastAsia="zh-CN"/>
        </w:rPr>
        <w:t>供应商</w:t>
      </w:r>
      <w:r>
        <w:rPr>
          <w:rFonts w:hint="eastAsia" w:asciiTheme="minorEastAsia" w:hAnsiTheme="minorEastAsia" w:eastAsiaTheme="minorEastAsia"/>
          <w:b/>
          <w:sz w:val="24"/>
          <w:szCs w:val="28"/>
        </w:rPr>
        <w:t>须完全满足或优于</w:t>
      </w:r>
      <w:r>
        <w:rPr>
          <w:rFonts w:hint="eastAsia" w:asciiTheme="minorEastAsia" w:hAnsiTheme="minorEastAsia" w:eastAsiaTheme="minorEastAsia"/>
          <w:b/>
          <w:sz w:val="24"/>
          <w:szCs w:val="28"/>
          <w:lang w:val="en-US" w:eastAsia="zh-CN"/>
        </w:rPr>
        <w:t>谈判</w:t>
      </w:r>
      <w:r>
        <w:rPr>
          <w:rFonts w:hint="eastAsia" w:asciiTheme="minorEastAsia" w:hAnsiTheme="minorEastAsia" w:eastAsiaTheme="minorEastAsia"/>
          <w:b/>
          <w:sz w:val="24"/>
          <w:szCs w:val="28"/>
        </w:rPr>
        <w:t>文件要求，否则</w:t>
      </w:r>
      <w:r>
        <w:rPr>
          <w:rFonts w:hint="eastAsia" w:asciiTheme="minorEastAsia" w:hAnsiTheme="minorEastAsia" w:eastAsiaTheme="minorEastAsia"/>
          <w:b/>
          <w:sz w:val="24"/>
          <w:szCs w:val="28"/>
          <w:lang w:val="en-US" w:eastAsia="zh-CN"/>
        </w:rPr>
        <w:t>响应</w:t>
      </w:r>
      <w:r>
        <w:rPr>
          <w:rFonts w:hint="eastAsia" w:asciiTheme="minorEastAsia" w:hAnsiTheme="minorEastAsia" w:eastAsiaTheme="minorEastAsia"/>
          <w:b/>
          <w:sz w:val="24"/>
          <w:szCs w:val="28"/>
        </w:rPr>
        <w:t>无效。未标注“★”条款如出现负偏离或未响应的，由</w:t>
      </w:r>
      <w:r>
        <w:rPr>
          <w:rFonts w:hint="eastAsia" w:asciiTheme="minorEastAsia" w:hAnsiTheme="minorEastAsia" w:eastAsiaTheme="minorEastAsia"/>
          <w:b/>
          <w:sz w:val="24"/>
          <w:szCs w:val="28"/>
          <w:lang w:val="en-US" w:eastAsia="zh-CN"/>
        </w:rPr>
        <w:t>谈判小组</w:t>
      </w:r>
      <w:r>
        <w:rPr>
          <w:rFonts w:hint="eastAsia" w:asciiTheme="minorEastAsia" w:hAnsiTheme="minorEastAsia" w:eastAsiaTheme="minorEastAsia"/>
          <w:b/>
          <w:sz w:val="24"/>
          <w:szCs w:val="28"/>
        </w:rPr>
        <w:t xml:space="preserve">讨论后酌情评审。  </w:t>
      </w:r>
    </w:p>
    <w:p>
      <w:pPr>
        <w:spacing w:line="360" w:lineRule="auto"/>
        <w:ind w:firstLine="435"/>
        <w:rPr>
          <w:rFonts w:hint="eastAsia" w:asciiTheme="minorEastAsia" w:hAnsiTheme="minorEastAsia" w:eastAsiaTheme="minorEastAsia"/>
          <w:b/>
          <w:sz w:val="24"/>
          <w:szCs w:val="28"/>
        </w:rPr>
      </w:pPr>
      <w:r>
        <w:rPr>
          <w:rFonts w:hint="eastAsia" w:asciiTheme="minorEastAsia" w:hAnsiTheme="minorEastAsia" w:eastAsiaTheme="minorEastAsia"/>
          <w:b/>
          <w:sz w:val="24"/>
          <w:szCs w:val="28"/>
        </w:rPr>
        <w:t>6．技术参数及要求中，标注“提供相关证明材料”的条款，</w:t>
      </w:r>
      <w:r>
        <w:rPr>
          <w:rFonts w:hint="eastAsia" w:asciiTheme="minorEastAsia" w:hAnsiTheme="minorEastAsia" w:eastAsiaTheme="minorEastAsia"/>
          <w:b/>
          <w:sz w:val="24"/>
          <w:szCs w:val="28"/>
          <w:lang w:val="en-US" w:eastAsia="zh-CN"/>
        </w:rPr>
        <w:t>供应商</w:t>
      </w:r>
      <w:r>
        <w:rPr>
          <w:rFonts w:hint="eastAsia" w:asciiTheme="minorEastAsia" w:hAnsiTheme="minorEastAsia" w:eastAsiaTheme="minorEastAsia"/>
          <w:b/>
          <w:sz w:val="24"/>
          <w:szCs w:val="28"/>
        </w:rPr>
        <w:t>需在</w:t>
      </w:r>
      <w:r>
        <w:rPr>
          <w:rFonts w:hint="eastAsia" w:asciiTheme="minorEastAsia" w:hAnsiTheme="minorEastAsia" w:eastAsiaTheme="minorEastAsia"/>
          <w:b/>
          <w:sz w:val="24"/>
          <w:szCs w:val="28"/>
          <w:lang w:val="en-US" w:eastAsia="zh-CN"/>
        </w:rPr>
        <w:t>谈判</w:t>
      </w:r>
      <w:r>
        <w:rPr>
          <w:rFonts w:hint="eastAsia" w:asciiTheme="minorEastAsia" w:hAnsiTheme="minorEastAsia" w:eastAsiaTheme="minorEastAsia"/>
          <w:b/>
          <w:sz w:val="24"/>
          <w:szCs w:val="28"/>
        </w:rPr>
        <w:t>文件中提供能体现该条款要求的证明材料扫描件，如：医疗器械注册证、检</w:t>
      </w:r>
    </w:p>
    <w:p>
      <w:pPr>
        <w:spacing w:line="360" w:lineRule="auto"/>
        <w:rPr>
          <w:rFonts w:hint="eastAsia" w:asciiTheme="minorEastAsia" w:hAnsiTheme="minorEastAsia" w:eastAsiaTheme="minorEastAsia"/>
          <w:b/>
          <w:sz w:val="24"/>
          <w:szCs w:val="28"/>
        </w:rPr>
      </w:pPr>
      <w:r>
        <w:rPr>
          <w:rFonts w:hint="eastAsia" w:asciiTheme="minorEastAsia" w:hAnsiTheme="minorEastAsia" w:eastAsiaTheme="minorEastAsia"/>
          <w:b/>
          <w:sz w:val="24"/>
          <w:szCs w:val="28"/>
        </w:rPr>
        <w:t>测报告、技术白皮书、产品彩页、功能截图、说明书、官网截图等，提供其中</w:t>
      </w:r>
    </w:p>
    <w:p>
      <w:pPr>
        <w:spacing w:line="360" w:lineRule="auto"/>
        <w:rPr>
          <w:rFonts w:hint="eastAsia" w:asciiTheme="minorEastAsia" w:hAnsiTheme="minorEastAsia" w:eastAsiaTheme="minorEastAsia"/>
          <w:b/>
          <w:sz w:val="24"/>
          <w:szCs w:val="28"/>
        </w:rPr>
      </w:pPr>
      <w:r>
        <w:rPr>
          <w:rFonts w:hint="eastAsia" w:asciiTheme="minorEastAsia" w:hAnsiTheme="minorEastAsia" w:eastAsiaTheme="minorEastAsia"/>
          <w:b/>
          <w:sz w:val="24"/>
          <w:szCs w:val="28"/>
        </w:rPr>
        <w:t>之一即可，否则视为负偏离（为便于评审，建议</w:t>
      </w:r>
      <w:r>
        <w:rPr>
          <w:rFonts w:hint="eastAsia" w:asciiTheme="minorEastAsia" w:hAnsiTheme="minorEastAsia" w:eastAsiaTheme="minorEastAsia"/>
          <w:b/>
          <w:sz w:val="24"/>
          <w:szCs w:val="28"/>
          <w:lang w:val="en-US" w:eastAsia="zh-CN"/>
        </w:rPr>
        <w:t>供应商</w:t>
      </w:r>
      <w:r>
        <w:rPr>
          <w:rFonts w:hint="eastAsia" w:asciiTheme="minorEastAsia" w:hAnsiTheme="minorEastAsia" w:eastAsiaTheme="minorEastAsia"/>
          <w:b/>
          <w:sz w:val="24"/>
          <w:szCs w:val="28"/>
        </w:rPr>
        <w:t>对证明材料中的关键参</w:t>
      </w:r>
    </w:p>
    <w:p>
      <w:pPr>
        <w:spacing w:line="360" w:lineRule="auto"/>
        <w:rPr>
          <w:rFonts w:hint="eastAsia" w:asciiTheme="minorEastAsia" w:hAnsiTheme="minorEastAsia" w:eastAsiaTheme="minorEastAsia"/>
          <w:b/>
          <w:sz w:val="24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8"/>
        </w:rPr>
        <w:t xml:space="preserve">数进行标注）。 </w:t>
      </w:r>
    </w:p>
    <w:p>
      <w:pPr>
        <w:spacing w:line="360" w:lineRule="auto"/>
        <w:ind w:firstLine="437"/>
        <w:rPr>
          <w:rFonts w:ascii="宋体" w:hAnsi="宋体" w:eastAsia="宋体"/>
          <w:sz w:val="24"/>
          <w:szCs w:val="18"/>
        </w:rPr>
      </w:pPr>
    </w:p>
    <w:p>
      <w:pPr>
        <w:spacing w:line="360" w:lineRule="auto"/>
        <w:ind w:firstLine="437"/>
        <w:outlineLvl w:val="1"/>
        <w:rPr>
          <w:rFonts w:ascii="宋体" w:hAnsi="宋体" w:eastAsia="宋体"/>
          <w:b/>
          <w:sz w:val="24"/>
          <w:szCs w:val="18"/>
        </w:rPr>
      </w:pPr>
      <w:r>
        <w:rPr>
          <w:rFonts w:hint="eastAsia" w:ascii="宋体" w:hAnsi="宋体" w:eastAsia="宋体"/>
          <w:b/>
          <w:sz w:val="24"/>
          <w:szCs w:val="18"/>
        </w:rPr>
        <w:t>一、采购需求前附表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032"/>
        <w:gridCol w:w="5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1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/>
                <w:kern w:val="2"/>
              </w:rPr>
            </w:pPr>
            <w:r>
              <w:rPr>
                <w:rFonts w:hint="eastAsia" w:ascii="宋体" w:hAnsi="宋体" w:eastAsia="宋体"/>
                <w:b/>
                <w:kern w:val="2"/>
              </w:rPr>
              <w:t>序号</w:t>
            </w:r>
          </w:p>
        </w:tc>
        <w:tc>
          <w:tcPr>
            <w:tcW w:w="1192" w:type="pct"/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条款名称</w:t>
            </w:r>
          </w:p>
        </w:tc>
        <w:tc>
          <w:tcPr>
            <w:tcW w:w="3216" w:type="pct"/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内容、说明与要求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1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1</w:t>
            </w:r>
          </w:p>
        </w:tc>
        <w:tc>
          <w:tcPr>
            <w:tcW w:w="1192" w:type="pct"/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付款方式</w:t>
            </w:r>
          </w:p>
        </w:tc>
        <w:tc>
          <w:tcPr>
            <w:tcW w:w="3216" w:type="pct"/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b w:val="0"/>
                <w:sz w:val="24"/>
                <w:u w:val="single"/>
              </w:rPr>
              <w:t>供货安装并验收合格后30个工作日内支付合同金额的50%，供货安装并验收合格一年后支付合同金额的40%，余款待免费质保期满后一次性无息付清。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1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2</w:t>
            </w:r>
          </w:p>
        </w:tc>
        <w:tc>
          <w:tcPr>
            <w:tcW w:w="1192" w:type="pct"/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供货及安装地点</w:t>
            </w:r>
          </w:p>
        </w:tc>
        <w:tc>
          <w:tcPr>
            <w:tcW w:w="3216" w:type="pct"/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  <w:u w:val="single"/>
              </w:rPr>
              <w:t>合肥市妇幼保健院，采购人指定地点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1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3</w:t>
            </w:r>
          </w:p>
        </w:tc>
        <w:tc>
          <w:tcPr>
            <w:tcW w:w="1192" w:type="pct"/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供货及安装期限</w:t>
            </w:r>
          </w:p>
        </w:tc>
        <w:tc>
          <w:tcPr>
            <w:tcW w:w="3216" w:type="pct"/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合同生效后90个日历天内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1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4</w:t>
            </w:r>
          </w:p>
        </w:tc>
        <w:tc>
          <w:tcPr>
            <w:tcW w:w="1192" w:type="pct"/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免费质保期</w:t>
            </w:r>
          </w:p>
        </w:tc>
        <w:tc>
          <w:tcPr>
            <w:tcW w:w="3216" w:type="pct"/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验收合格之日起两年</w:t>
            </w:r>
          </w:p>
        </w:tc>
      </w:tr>
    </w:tbl>
    <w:p>
      <w:pPr>
        <w:spacing w:line="360" w:lineRule="auto"/>
        <w:ind w:firstLine="437"/>
        <w:outlineLvl w:val="1"/>
        <w:rPr>
          <w:rFonts w:ascii="宋体" w:hAnsi="宋体" w:eastAsia="宋体"/>
          <w:b/>
          <w:bCs/>
          <w:sz w:val="24"/>
          <w:szCs w:val="18"/>
        </w:rPr>
      </w:pPr>
      <w:r>
        <w:rPr>
          <w:rFonts w:hint="eastAsia" w:ascii="宋体" w:hAnsi="宋体" w:eastAsia="宋体"/>
          <w:b/>
          <w:bCs/>
          <w:sz w:val="24"/>
          <w:szCs w:val="18"/>
        </w:rPr>
        <w:t>二、货物需求一览表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2221"/>
        <w:gridCol w:w="1245"/>
        <w:gridCol w:w="1350"/>
        <w:gridCol w:w="1454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18"/>
              </w:rPr>
              <w:t>所属行业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宋体" w:hAnsi="宋体" w:eastAsia="宋体"/>
                <w:sz w:val="24"/>
                <w:szCs w:val="18"/>
              </w:rPr>
              <w:t>▲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高档麻醉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监护仪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工业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心电监护仪1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  <w:t>工业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highlight w:val="none"/>
              </w:rPr>
              <w:t>心电监护仪2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  <w:t>工业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 xml:space="preserve">胎儿监护仪1        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  <w:t>工业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胎儿监护仪2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95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  <w:t>工业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  <w:jc w:val="center"/>
        </w:trPr>
        <w:tc>
          <w:tcPr>
            <w:tcW w:w="1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胎心监护中央总控机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@仿宋_GB2312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  <w:t>工业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分娩阵痛体验仪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@仿宋_GB2312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  <w:t>工业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国产</w:t>
            </w:r>
          </w:p>
        </w:tc>
      </w:tr>
    </w:tbl>
    <w:p>
      <w:pPr>
        <w:rPr>
          <w:rFonts w:hint="eastAsia" w:asciiTheme="minorEastAsia" w:hAnsiTheme="minorEastAsia" w:eastAsiaTheme="minorEastAsia"/>
          <w:b/>
          <w:bCs/>
          <w:sz w:val="24"/>
          <w:szCs w:val="18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18"/>
        </w:rPr>
        <w:br w:type="page"/>
      </w:r>
    </w:p>
    <w:p>
      <w:pPr>
        <w:spacing w:line="360" w:lineRule="auto"/>
        <w:ind w:firstLine="241" w:firstLineChars="100"/>
        <w:outlineLvl w:val="1"/>
        <w:rPr>
          <w:rFonts w:ascii="宋体" w:hAnsi="宋体" w:eastAsia="宋体"/>
          <w:b/>
          <w:bCs/>
          <w:sz w:val="24"/>
          <w:szCs w:val="18"/>
        </w:rPr>
      </w:pPr>
      <w:r>
        <w:rPr>
          <w:rFonts w:hint="eastAsia" w:ascii="宋体" w:hAnsi="宋体" w:eastAsia="宋体"/>
          <w:b/>
          <w:bCs/>
          <w:sz w:val="24"/>
          <w:szCs w:val="18"/>
        </w:rPr>
        <w:t>二、货物需求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963"/>
        <w:gridCol w:w="5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6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18"/>
              </w:rPr>
              <w:t>序号</w:t>
            </w:r>
          </w:p>
        </w:tc>
        <w:tc>
          <w:tcPr>
            <w:tcW w:w="1152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18"/>
              </w:rPr>
              <w:t>货物名称</w:t>
            </w:r>
          </w:p>
        </w:tc>
        <w:tc>
          <w:tcPr>
            <w:tcW w:w="3411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18"/>
              </w:rPr>
              <w:t>技术参数及要求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436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152" w:type="pc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/>
                <w:sz w:val="24"/>
                <w:szCs w:val="18"/>
              </w:rPr>
              <w:t>▲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高档麻醉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监护仪</w:t>
            </w:r>
          </w:p>
        </w:tc>
        <w:tc>
          <w:tcPr>
            <w:tcW w:w="3411" w:type="pct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1. 主机功能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 xml:space="preserve">1.1 </w:t>
            </w:r>
            <w:r>
              <w:rPr>
                <w:rFonts w:hint="eastAsia" w:asciiTheme="minorEastAsia" w:hAnsiTheme="minorEastAsia" w:eastAsiaTheme="minorEastAsia"/>
                <w:bCs/>
                <w:color w:val="auto"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插件式监护仪，不小于15寸彩色TFT医用级触摸液晶显示屏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 xml:space="preserve">1.2 Linux工业级操作系统 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1.3 采用金属外壳、无风扇及低功耗设计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1.4 内置模块插槽，所有监测参数模块可直接插入，且支持热插拔操作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1.5同屏显示波形通道数≥8，参数窗口≥20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1.6四级文字和三级声、光报警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1.7具有高清分屏显示功能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1.8可自定义各参数波形颜色及数字位置，窗口大小可自动调节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2. 监测功能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2.1 监测参数：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2.1.1 ★标配：心电、脉搏、血氧饱和度、无创血压、呼吸、双体温、四有创、呼气末二氧化碳、热稀释法心输出量CO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2.2 心电监测：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 xml:space="preserve">2.2.1 标配心电导联：3/5导联 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 xml:space="preserve">2.2.2 ST段测量功能可用于新生儿、儿童及成人 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 xml:space="preserve">2.2.3 同步多导联心律失常分析，可同时对≥4道ECG心电导联进行分析 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 xml:space="preserve">2.2.4 可对房颤进行自动识别、分析及报警 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2.2.5 具有急性心肌缺血预测评分系统。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2.2.6起搏器监测功能：单腔或双腔。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2.3 无创血压监测：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2.3.1 ★采用双管路技术，监测时间快速，监测数据准确。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2.3.2 测量模式：手动、自动、连续。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2.4  脉搏血氧饱和度监测：抗运动干扰、防低灌注，可升级选配Masimo血氧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2.5  呼吸监测：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2.5.1 测量方法：胸阻抗法、CO2监测法或监测来源自动识别。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2.5.2 呼吸频率范围：4 ~ 120次/分钟或大于此范围。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 xml:space="preserve">2.6  体温监测：采用YSI工业级温度测量技术，精准度高。 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2.7 有创压力监测： 测量范围 -48 ~ 320 mmHg或大于此范围。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2.8  具备手术体积描计指数SPI监测，反映全麻术中镇痛效果。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2.9  CO2监测采用旁流法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3.0  网络功能：具备单机联网功能；远程网络维护系统；心电管理系统的双向通讯、存储、查看及打印输出等功能。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1152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心电监护仪1</w:t>
            </w:r>
          </w:p>
        </w:tc>
        <w:tc>
          <w:tcPr>
            <w:tcW w:w="3411" w:type="pct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1、监护参数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一体化多参数监护仪，具备心电、呼吸、无创血压、血氧饱和度、脉率和双通道体温监测功能。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 xml:space="preserve">2、显示  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2.1屏幕尺寸：≥8英寸彩色显示屏，分辨率不低于800*600。支持同屏显示11道波形，以同时观察丰富的信息。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2.2主界面上支持自定义快捷键操作，且可根据不同医护人员使用习惯，调整快捷键数量和顺序，提高科室工作效率。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2.3支持待机模式、夜间模式、演示模式、隐私模式、插管模式、NFC模式等。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3、数据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3.1支持AES 128位加密和TLS 256位数据传输加密。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3.2支持网络流量监控及控制，提供更高的网络安全管控，防止恶意软件攻击。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4、性能特点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4.1在任何滤波模式下均可监测ST值。提供心电ST段分析功能，支持在专门的窗口中分组显示心脏前壁、下壁和侧壁的ST实时片段和参考片段。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★4.2在诊断模式下，支持不低于94dB的共模抑制比；在监护、手术模式下，支持不低于105dB的共模抑制比。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★4.3支持0.67Hz的高通滤波，确保波形有更好的稳定性。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4.4支持用户自行安装激光打印机驱动。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4.5配备一体式可折叠收纳的挂床提手，不需要额外的工具安装挂床装置，便于挂床安装。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4.6监护仪设计使用年限8年，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文件中提供机器标贴照片。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4.7具备技术报警和生理报警两个独立的报警灯位置，通过不一样的颜色显示两种类型的报警，能够同时显示两种报警，有利于医护人员远距离辨识报警情况。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36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1152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心电监护仪2</w:t>
            </w:r>
          </w:p>
        </w:tc>
        <w:tc>
          <w:tcPr>
            <w:tcW w:w="3411" w:type="pct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一、监护参数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1.一体化多参数监护仪，具备心电、呼吸、无创血压、血氧饱和度、脉率和双通道体温监测功能，产品具备国家食品药品监督管理局颁发的Ⅲ类医疗器械注册证。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2.标配同品牌呼末二氧化碳（EtCO2），标配有创血压（IBP），支持CVP、ART、PA、PAWP测量，支持选配麻醉气体（AG）和心排（C.O.）。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 xml:space="preserve">二、显示  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1.屏幕尺寸≥12英寸彩色显示屏，分辨率≥800×600。支持同屏显示11道波形，以同时观察丰富的信息。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2.主界面上支持自定义快捷键操作，且可根据不同医护人员使用习惯，调整快捷键数量和顺序，提高科室工作效率，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须在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文件中提供机器实物图片直观证明。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3.支持待机模式、夜间模式、演示模式、隐私模式、插管模式、NFC模式等。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三、数据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1.支持AES 128位加密和TLS 256位数据传输加密，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在响应文件中提供机器实物图片的相应界面。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2.★支持网络流量监控及控制，提供更高的网络安全管控，防止恶意软件攻击。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（需提供机器界面图片）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四、性能特点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1.在任何滤波模式下均可监测ST值。提供心电ST段分析功能，支持在专门的窗口中分组显示心脏前壁、下壁和侧壁的ST实时片段和参考片段。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2.★在诊断模式下，支持不低于94dB的共模抑制比；在监护、手术模式下，支持不低于105dB的共模抑制比。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（需提供图片和厂家证明文件）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3.★支持0.67Hz的高通滤波，确保波形有更好的稳定性。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（需提供机器界面图片）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4.无创血压提供手动、自动、连续、序列四种测量模式。自动模式支持自定义设置血压测量间隔，间隔时间支持从1-480分钟内的任意整数数值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5.标配一体式可折叠收纳的挂床提手，不需要额外的工具安装挂床装置，便于挂床安装。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6.监护仪设计使用年限8年；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在投标文件中提供机器标贴照片作为证明资料。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7.具备技术报警和生理报警两个独立的报警灯位置，通过不一样的颜色显示两种类型的报警，能够同时显示两种报警，有利于医护人员远距离辨识报警情况。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1152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胎儿监护仪1</w:t>
            </w:r>
          </w:p>
        </w:tc>
        <w:tc>
          <w:tcPr>
            <w:tcW w:w="3411" w:type="pct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1、监护功能：对胎儿胎心率、宫缩压力、胎动进行监测。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2、设备外观：便携式设计,一体化探头支架 ，中文操作界面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3、屏幕显示：8寸以上翻转彩色TFT显示,同屏显示监护数据与曲线具有多种显示模式。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4、胎心探头：宽波束多晶片IP68防水探头，超声频率：2MHz，超声输出功率：＜3mW/㎝2。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5、胎心测量范围：30-240BPM，精度±1BPM。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6、宫缩压力探头：0-100相对压力，宫缩压力非线性误差≤5%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7、报警功能：机顶报警光柱，声光报警，报警范围、报警声音大小，报警延时可调，具有报警文字提示和回顾功能。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8、存储功能：档案自动存储和回放，关机后数据不丢失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9、打印功能：内置热敏打印机，打印纸宽度112㎜，走纸速度1、2、3㎝/可调，易装纸机构，装纸方便可靠。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10、打印回放：支持高速回放打印，支持选段打印、选档案打印及自动停止打印。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11、网络通讯：内置RS485接口、以太网接口、无线通讯模块，可通过有线、无线网络与中央站组成网络系统。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12、★探头防水功能：胎心率探头、宫缩压力探头满足IP68防水等级。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13、★升级功能：可升级无线探头监护、双床位功能（单机可独立档案直接监测双名孕妇）。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14、★兼容性：可无条件接入我院现有（三瑞、莲印、奥生）产科中央监护网络系统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</w:t>
            </w:r>
          </w:p>
        </w:tc>
        <w:tc>
          <w:tcPr>
            <w:tcW w:w="1152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胎儿监护仪2</w:t>
            </w:r>
          </w:p>
        </w:tc>
        <w:tc>
          <w:tcPr>
            <w:tcW w:w="3411" w:type="pct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1、监护参数：胎心率、宫缩压力、胎动，胎儿活动图，多胞胎模式支持显示、打印分离的或混合的FHR轨迹，可真实反映多个胎心的差异的心率、宫缩压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力、胎动（自动胎动，胎儿活动图），支持连接母参监护仪，展示母亲体征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★2、一体化无线探头，探头直接侧挂于设备主机两侧卡槽内。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3、显示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＞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10寸高分辨率液晶显示屏、电容式触摸屏，支持手写输入，探头显示孕妇姓名、FHR、TOCO数据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4、超声工作频率：1- 2 MHz，超声输出功率：Iob&lt;10Mw、晶片数量：≥10。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★5、探头具备IP68级防水等级,支持水中分娩。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6、探头续航时间：探头连续使用时间≥10小时。支持同品牌无线探头间配对组合，满足低电量时无线探头接续监护。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7、探头无线通讯距离，无障碍通讯距离≥50米。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★8、探头支持全息数据存储：探头可全息存储长时间胎心率、宫缩、胎动及胎心音。保证恶劣通讯环境下的数据完整。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9、支持单胎、双胎，三胞胎监护，同品牌探头可动态配置多胞胎监护。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10、档案存储：可存储档案数≥2万个，数据自动存储，监护时长无限制、支持监护数据档案回放，支持胎心音存储和声音回放，关机后数据不丢失。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★11、具备文字可编辑输入事件记录功能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12、打印机支持：可直连WiFi打印机或网络打印机，支持不同走纸速度的设置。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13、硬件接口：内置多种数据接口，支持与院内信息系统对接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14、报警提醒：多功能报警，监护报警及操作报警，支持添加事件记录。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436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</w:t>
            </w:r>
          </w:p>
        </w:tc>
        <w:tc>
          <w:tcPr>
            <w:tcW w:w="1152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胎心监护中央总控机</w:t>
            </w:r>
          </w:p>
        </w:tc>
        <w:tc>
          <w:tcPr>
            <w:tcW w:w="3411" w:type="pct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1.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需支持对全院的胎监原始数据、档案报告进行集中管理：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1.1、监护所有数据需统一存放在院内服务器，统一集中管理。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1.2、需支持定时对监护档案进行增量/全量备份，确保系统数据完整、可靠；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★1.3、需支持在院内任意授权的医生、护士电脑端，移动客户端，查看实时监护数据或历史监护数据，不受院区、科室物理距离、地址影响；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1.4、支持按不同病区、产房、门诊等不同区域进行分区账号管理，包括该区域的设备数据、病人数据、用户数据等。支持不同区域间的设备借调、归还管理。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 xml:space="preserve">需具有兼容目前国内外主流监护仪品牌的接入能力，可通过外接设备支持对院内现有胎儿监护设备进行联网调试，确保医院对胎儿监护主机设备采购的自主性； 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★2.1、需支持无条件兼容院内现有品牌（三瑞、莲印）监护设备的联网接入，并支持将现有设备直接接入医院现有Wi-Fi网络；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2.2、系统及硬件设备需支持企业级数据加密方式，支持双频频段（2.4G、5G频段），并支持可靠接入院内现有Wi-Fi网络，确保医院对无线网络的统一管理；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2.3、设备联网与服务器需支持Websocket全双工通信协议。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ab/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3. 系统应具有数据续传接收能力，在无线网络信号不佳、甚至断网情况下，在网络恢   复时，仍可将近20分钟及以上的历史数据重传至服务器。确保数据安全性、可靠性。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4．系统应具有完整的中央监护系统功能：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4.1、实时告警：支持设置胎心报警区间、支持国际标准的三级（高中低）报警系统，以及设备离线警示、支持报警延时设置、支持监护结束提醒。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4.2、报告生成：支持全程CTG曲线回放，可选段诊断、并支持在后台添加医嘱模板。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4.3、分析评分：具有Fischer、Krebs、NST、CST、Sogc分类评分法等多种智能评分方法，支持医生进行手动修改人工校正分析结果。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4.4、支持对报告模板进行定制。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5.  系统需符合院内现有医技系统信息化管理要求，及为后续系统提供持续发展支撑：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5.1、需与医院现有信息化系统进行对接，实现门诊、住院信息同步、支持住院项目申请单确费、医技报告发布流程。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5.2、系统支持his跳转调阅胎监档案页，查看该病人的所有在院历史档案数据（门诊及住院）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★5.2、需具有移动端app软件，可利用本院已有PDA，通过移动端应用实现监护扫码建档、结束监护、监护管理、设备管理等功能，最大限度提高医护工作效率，减少医护信息录入。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5.3、系统的设计必须具有一定的扩展能力，留有升级的余地，保证系统的可扩充性、适应院内信息化业务的持续发展需要。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6.系统需具备超大的业务承载量，预留后续应用规模拓展需要：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6.1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机器应当满足支持不少于250台监护设备入网、50个工作站客户端实时运行、200台PDA设备、100个医生工作站查阅报告的并发承载。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7.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系统需具有专用后台管理页面、后台日志记录，供院方及维护人员使用：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7.1、后台管理页可为维护人员提供各项工具、进行系统账号管理、监护档案管理、设备信息管理态等，并支持在院内任意终端进行页面登录；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7.2、系统对每项关键操作需留存日志记录，需对操作动作、用户IP地址进行完整记录保证可追溯。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分娩阵痛体验仪</w:t>
            </w:r>
          </w:p>
        </w:tc>
        <w:tc>
          <w:tcPr>
            <w:tcW w:w="3411" w:type="pct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1、输出通道：四通道任意组合选择输出，最多支持四人同时体验。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2、1-100能量档输出，多重保障措施，安全可控。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3、评级模式：1-10级。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4、操作模式：全触摸屏。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5、工作电压：220V 50HZ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6、最大运行功率≤50W。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7、脉冲频率：基波250Hz,载波7142Hz。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8、波形：双向方波。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9、计时精度： 1S±5%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10、体验模式：辅助分娩、自然分娩、分娩镇痛、痛经模式、胎动模式。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11、自然分娩模式分级体验时间可自动设置。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12、分娩过程体验场景全程语音播报、气氛热烈。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13、脚踏开关便利体验者随时停止能量输出，结束体验。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14、保护和安全： 过温度保护、过流保护。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15、7寸全触摸高清IPS显示，界面风格简洁、操作简单，易学易懂。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16、后台能量调整、语音播报音量调整。</w:t>
            </w:r>
          </w:p>
        </w:tc>
      </w:tr>
    </w:tbl>
    <w:p>
      <w:pPr>
        <w:spacing w:line="360" w:lineRule="auto"/>
        <w:outlineLvl w:val="1"/>
        <w:rPr>
          <w:rFonts w:hint="eastAsia" w:ascii="宋体" w:hAnsi="宋体" w:eastAsia="宋体"/>
          <w:b/>
          <w:bCs/>
          <w:sz w:val="24"/>
          <w:szCs w:val="18"/>
        </w:rPr>
      </w:pPr>
    </w:p>
    <w:p>
      <w:pPr>
        <w:spacing w:line="360" w:lineRule="auto"/>
        <w:ind w:firstLine="437"/>
        <w:outlineLvl w:val="1"/>
        <w:rPr>
          <w:rFonts w:hint="eastAsia" w:ascii="宋体" w:hAnsi="宋体" w:eastAsia="宋体"/>
          <w:b/>
          <w:bCs/>
          <w:sz w:val="24"/>
          <w:szCs w:val="18"/>
        </w:rPr>
      </w:pPr>
    </w:p>
    <w:p>
      <w:pPr>
        <w:spacing w:line="360" w:lineRule="auto"/>
        <w:ind w:firstLine="437"/>
        <w:outlineLvl w:val="1"/>
        <w:rPr>
          <w:rFonts w:ascii="宋体" w:hAnsi="宋体" w:eastAsia="宋体"/>
          <w:b/>
          <w:bCs/>
          <w:sz w:val="24"/>
          <w:szCs w:val="18"/>
        </w:rPr>
      </w:pPr>
      <w:r>
        <w:rPr>
          <w:rFonts w:hint="eastAsia" w:ascii="宋体" w:hAnsi="宋体" w:eastAsia="宋体"/>
          <w:b/>
          <w:bCs/>
          <w:sz w:val="24"/>
          <w:szCs w:val="18"/>
        </w:rPr>
        <w:t>三、报价要求</w:t>
      </w:r>
    </w:p>
    <w:p>
      <w:pPr>
        <w:spacing w:line="360" w:lineRule="auto"/>
        <w:ind w:firstLine="435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本项目各包报总价，报价包含完成本项目所需的全部费用。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成交</w:t>
      </w:r>
      <w:r>
        <w:rPr>
          <w:rFonts w:hint="eastAsia" w:asciiTheme="minorEastAsia" w:hAnsiTheme="minorEastAsia" w:eastAsiaTheme="minorEastAsia"/>
          <w:sz w:val="24"/>
        </w:rPr>
        <w:t>后采购人不</w:t>
      </w:r>
    </w:p>
    <w:p>
      <w:pPr>
        <w:spacing w:line="360" w:lineRule="auto"/>
        <w:rPr>
          <w:rFonts w:ascii="宋体" w:hAnsi="宋体" w:eastAsia="宋体"/>
          <w:bCs/>
          <w:sz w:val="24"/>
          <w:szCs w:val="18"/>
        </w:rPr>
      </w:pPr>
      <w:r>
        <w:rPr>
          <w:rFonts w:hint="eastAsia" w:asciiTheme="minorEastAsia" w:hAnsiTheme="minorEastAsia" w:eastAsiaTheme="minorEastAsia"/>
          <w:sz w:val="24"/>
        </w:rPr>
        <w:t>再另行追加任何费用，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供应商</w:t>
      </w:r>
      <w:r>
        <w:rPr>
          <w:rFonts w:hint="eastAsia" w:asciiTheme="minorEastAsia" w:hAnsiTheme="minorEastAsia" w:eastAsiaTheme="minorEastAsia"/>
          <w:sz w:val="24"/>
        </w:rPr>
        <w:t>应自行考虑报价风险。</w:t>
      </w:r>
    </w:p>
    <w:p>
      <w:pPr>
        <w:numPr>
          <w:ilvl w:val="0"/>
          <w:numId w:val="0"/>
        </w:numPr>
        <w:spacing w:line="360" w:lineRule="auto"/>
        <w:outlineLvl w:val="1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5B"/>
    <w:rsid w:val="00422429"/>
    <w:rsid w:val="004B4EAA"/>
    <w:rsid w:val="00500F61"/>
    <w:rsid w:val="00792DA6"/>
    <w:rsid w:val="00A977A1"/>
    <w:rsid w:val="00BC5B87"/>
    <w:rsid w:val="00C721BA"/>
    <w:rsid w:val="00D1455B"/>
    <w:rsid w:val="00F24C54"/>
    <w:rsid w:val="1A6852D8"/>
    <w:rsid w:val="41ED1974"/>
    <w:rsid w:val="50AA7C13"/>
    <w:rsid w:val="5A70131A"/>
    <w:rsid w:val="5D8C146A"/>
    <w:rsid w:val="6116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Theme="minorEastAsia" w:cstheme="minorBidi"/>
      <w:szCs w:val="22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  <w:style w:type="paragraph" w:customStyle="1" w:styleId="10">
    <w:name w:val="D&amp;L"/>
    <w:basedOn w:val="5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</w:pPr>
    <w:rPr>
      <w:kern w:val="0"/>
      <w:sz w:val="24"/>
      <w:szCs w:val="20"/>
    </w:rPr>
  </w:style>
  <w:style w:type="character" w:customStyle="1" w:styleId="11">
    <w:name w:val="页眉 Char"/>
    <w:basedOn w:val="8"/>
    <w:link w:val="5"/>
    <w:qFormat/>
    <w:uiPriority w:val="99"/>
    <w:rPr>
      <w:rFonts w:ascii="@仿宋_GB2312" w:hAnsi="@仿宋_GB2312" w:eastAsia="@仿宋_GB2312" w:cs="@仿宋_GB231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@仿宋_GB2312" w:hAnsi="@仿宋_GB2312" w:eastAsia="@仿宋_GB2312" w:cs="@仿宋_GB2312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@仿宋_GB2312" w:hAnsi="@仿宋_GB2312" w:eastAsia="@仿宋_GB2312" w:cs="@仿宋_GB231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1101</Words>
  <Characters>1101</Characters>
  <Lines>100</Lines>
  <Paragraphs>183</Paragraphs>
  <TotalTime>0</TotalTime>
  <ScaleCrop>false</ScaleCrop>
  <LinksUpToDate>false</LinksUpToDate>
  <CharactersWithSpaces>2019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2021-08-23T08:53:00Z</dcterms:created>
  <dc:creator>Administrator</dc:creator>
  <cp:lastModifiedBy>Administrator</cp:lastModifiedBy>
  <dcterms:modified xsi:type="dcterms:W3CDTF">2021-12-09T08:48:30Z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