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rPr>
          <w:rFonts w:hint="eastAsia" w:ascii="宋体" w:hAnsi="宋体" w:eastAsia="宋体"/>
          <w:b/>
          <w:sz w:val="24"/>
          <w:szCs w:val="18"/>
          <w:highlight w:val="red"/>
          <w:lang w:eastAsia="zh-CN"/>
        </w:rPr>
      </w:pPr>
      <w:r>
        <w:rPr>
          <w:rFonts w:hint="eastAsia" w:ascii="宋体" w:hAnsi="宋体" w:eastAsia="宋体"/>
          <w:b/>
          <w:sz w:val="24"/>
          <w:szCs w:val="18"/>
        </w:rPr>
        <w:t>一、采购需求前附表</w:t>
      </w:r>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zh-CN" w:eastAsia="zh-CN" w:bidi="ar-SA"/>
              </w:rPr>
            </w:pPr>
            <w:r>
              <w:rPr>
                <w:rFonts w:hint="default" w:ascii="Times New Roman" w:hAnsi="Times New Roman" w:eastAsia="宋体" w:cs="Times New Roman"/>
                <w:b w:val="0"/>
                <w:bCs/>
                <w:kern w:val="0"/>
                <w:sz w:val="24"/>
                <w:szCs w:val="28"/>
                <w:highlight w:val="none"/>
                <w:u w:val="none"/>
                <w:lang w:val="en-US" w:eastAsia="zh-CN" w:bidi="ar-SA"/>
              </w:rPr>
              <w:t>供货安装并验收合格后30个工作日内支付合同金额的50%，验收合格一年后支付合同金额的40%，余款待免费质保期满后一次性无息付清</w:t>
            </w:r>
            <w:r>
              <w:rPr>
                <w:rFonts w:hint="eastAsia" w:ascii="Times New Roman" w:hAnsi="Times New Roman" w:eastAsia="宋体" w:cs="Times New Roman"/>
                <w:b w:val="0"/>
                <w:bCs/>
                <w:kern w:val="0"/>
                <w:sz w:val="24"/>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lang w:val="en-US" w:eastAsia="zh-CN"/>
              </w:rPr>
              <w:t>合肥市，采购人指定地点</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 xml:space="preserve">合同生效后三个月内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验收合格之日起</w:t>
            </w:r>
            <w:r>
              <w:rPr>
                <w:rFonts w:hint="default" w:ascii="Times New Roman" w:hAnsi="Times New Roman" w:eastAsia="宋体" w:cs="Times New Roman"/>
                <w:b w:val="0"/>
                <w:sz w:val="24"/>
                <w:u w:val="none"/>
                <w:lang w:val="en-US" w:eastAsia="zh-CN"/>
              </w:rPr>
              <w:t>两年</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hint="eastAsia" w:asciiTheme="majorEastAsia" w:hAnsiTheme="majorEastAsia" w:eastAsiaTheme="majorEastAsia"/>
                <w:bCs/>
                <w:kern w:val="2"/>
              </w:rPr>
              <w:t>5</w:t>
            </w:r>
          </w:p>
        </w:tc>
        <w:tc>
          <w:tcPr>
            <w:tcW w:w="1192" w:type="pct"/>
            <w:vAlign w:val="center"/>
          </w:tcPr>
          <w:p>
            <w:pPr>
              <w:pStyle w:val="103"/>
              <w:widowControl w:val="0"/>
              <w:spacing w:before="0" w:beforeAutospacing="0" w:after="0" w:afterAutospacing="0" w:line="360" w:lineRule="auto"/>
              <w:rPr>
                <w:rFonts w:hint="default" w:ascii="宋体" w:hAnsi="宋体" w:eastAsia="宋体" w:cs="宋体"/>
                <w:b w:val="0"/>
                <w:bCs/>
                <w:kern w:val="0"/>
                <w:sz w:val="24"/>
                <w:szCs w:val="28"/>
                <w:lang w:val="en-US" w:eastAsia="zh-CN" w:bidi="ar-SA"/>
              </w:rPr>
            </w:pPr>
            <w:r>
              <w:rPr>
                <w:rFonts w:hint="eastAsia" w:ascii="宋体" w:hAnsi="宋体" w:eastAsia="宋体" w:cs="宋体"/>
                <w:b/>
                <w:bCs w:val="0"/>
                <w:sz w:val="24"/>
                <w:lang w:val="en-US" w:eastAsia="zh-CN"/>
              </w:rPr>
              <w:t>技术参数及要求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b/>
                <w:sz w:val="24"/>
                <w:szCs w:val="22"/>
                <w:lang w:val="en-US" w:eastAsia="zh-CN"/>
              </w:rPr>
            </w:pPr>
            <w:r>
              <w:rPr>
                <w:rFonts w:hint="eastAsia" w:asciiTheme="minorEastAsia" w:hAnsiTheme="minorEastAsia" w:eastAsiaTheme="minorEastAsia"/>
                <w:b/>
                <w:sz w:val="24"/>
                <w:szCs w:val="22"/>
                <w:lang w:val="en-US" w:eastAsia="zh-CN"/>
              </w:rPr>
              <w:t>★条款须满足或优于谈判文件要求，否则响应无效；非★条款由谈判小组讨论后酌情评审。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kern w:val="2"/>
                <w:sz w:val="24"/>
                <w:szCs w:val="20"/>
                <w:lang w:val="en-US" w:eastAsia="zh-CN" w:bidi="ar-SA"/>
              </w:rPr>
            </w:pPr>
            <w:r>
              <w:rPr>
                <w:rFonts w:hint="eastAsia" w:asciiTheme="minorEastAsia" w:hAnsiTheme="minorEastAsia" w:eastAsiaTheme="minorEastAsia"/>
                <w:b/>
                <w:sz w:val="24"/>
                <w:szCs w:val="22"/>
                <w:lang w:val="en-US" w:eastAsia="zh-CN"/>
              </w:rPr>
              <w:t>注：响应文件中提供能反映★条款的相关证明材料，相关证明材料的形式包含但不仅限于：医疗器械注册证（含附表）、检验报告、技术彩页、技术白皮书、官网截图（提供其中之一即可）等，否则视为负偏离（建议供应商对所提供证明材料进行对应标注，以方便谈判小组评审）。</w:t>
            </w:r>
          </w:p>
        </w:tc>
      </w:tr>
    </w:tbl>
    <w:p>
      <w:pPr>
        <w:spacing w:line="360" w:lineRule="auto"/>
        <w:ind w:firstLine="437"/>
        <w:rPr>
          <w:rFonts w:hint="eastAsia" w:ascii="宋体" w:hAnsi="宋体" w:eastAsia="宋体"/>
          <w:b/>
          <w:bCs/>
          <w:sz w:val="24"/>
          <w:szCs w:val="18"/>
          <w:highlight w:val="red"/>
          <w:lang w:val="en-US" w:eastAsia="zh-CN"/>
        </w:rPr>
      </w:pPr>
      <w:r>
        <w:rPr>
          <w:rFonts w:hint="eastAsia" w:ascii="宋体" w:hAnsi="宋体" w:eastAsia="宋体"/>
          <w:b/>
          <w:bCs/>
          <w:sz w:val="24"/>
          <w:szCs w:val="18"/>
        </w:rPr>
        <w:t>二、货物需求一览表</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790"/>
        <w:gridCol w:w="886"/>
        <w:gridCol w:w="871"/>
        <w:gridCol w:w="155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637"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52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511"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911" w:type="pct"/>
            <w:shd w:val="clear" w:color="auto" w:fill="auto"/>
            <w:vAlign w:val="center"/>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宋体" w:hAnsi="宋体" w:eastAsia="宋体"/>
                <w:b/>
                <w:bCs/>
                <w:sz w:val="24"/>
                <w:szCs w:val="18"/>
              </w:rPr>
              <w:t>所属行业</w:t>
            </w:r>
          </w:p>
        </w:tc>
        <w:tc>
          <w:tcPr>
            <w:tcW w:w="782"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1</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新生儿暖箱</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6</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2</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ascii="宋体" w:hAnsi="宋体" w:eastAsia="宋体"/>
                <w:sz w:val="24"/>
                <w:szCs w:val="18"/>
              </w:rPr>
              <w:t>▲</w:t>
            </w:r>
            <w:r>
              <w:rPr>
                <w:rFonts w:hint="eastAsia" w:ascii="Times New Roman" w:hAnsi="Times New Roman" w:cs="Times New Roman" w:eastAsiaTheme="minorEastAsia"/>
                <w:sz w:val="24"/>
                <w:szCs w:val="24"/>
                <w:vertAlign w:val="baseline"/>
                <w:lang w:val="en-US" w:eastAsia="zh-CN"/>
              </w:rPr>
              <w:t>双面光疗箱</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4</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3</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ascii="宋体" w:hAnsi="宋体" w:eastAsia="宋体"/>
                <w:sz w:val="24"/>
                <w:szCs w:val="18"/>
              </w:rPr>
              <w:t>▲</w:t>
            </w:r>
            <w:r>
              <w:rPr>
                <w:rFonts w:hint="eastAsia" w:ascii="Times New Roman" w:hAnsi="Times New Roman" w:cs="Times New Roman" w:eastAsiaTheme="minorEastAsia"/>
                <w:sz w:val="24"/>
                <w:szCs w:val="24"/>
                <w:vertAlign w:val="baseline"/>
                <w:lang w:val="en-US" w:eastAsia="zh-CN"/>
              </w:rPr>
              <w:t>单面光疗箱</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12</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4</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婴儿辐射保暖台</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5</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亚低温治疗仪</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国产</w:t>
            </w:r>
          </w:p>
        </w:tc>
      </w:tr>
    </w:tbl>
    <w:p>
      <w:pPr>
        <w:spacing w:line="360" w:lineRule="auto"/>
        <w:ind w:firstLine="437"/>
        <w:rPr>
          <w:rFonts w:hint="eastAsia" w:ascii="宋体" w:hAnsi="宋体" w:eastAsia="宋体"/>
          <w:b/>
          <w:bCs/>
          <w:sz w:val="24"/>
          <w:szCs w:val="1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24"/>
        </w:rPr>
        <w:t>技术参数及要求</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（一）新生儿暖箱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★1、总体要求：适用于早产儿和新生儿，可作为保温箱和辐射加热器使用。产品在保温箱和辐射加热器操作间交替使用时，转换过程中持续为患者保暖。</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2、主要功能</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2.1兼具闭式暖箱和开放式辐射台功能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★2.2双重同步热源，总加热功率≥600W</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2.3暖箱和辐射台自动无缝转换，转换过程中无加热缺失</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3、暖箱操作模式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3.1具有空气和皮肤伺服控制两种模式</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3.2支持暖箱和辐射操作模式切换，暖箱模式下，辐射加热器低功率待机；辐射加热模式下，暖箱低功率待机，达到快速的模式转换</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3.3暖箱模式下，辐射加热器可加热箱罩减少箱内结雾，视野更清晰</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3.4升温时间 ＜20分钟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3.5翻门打开风帘自动增强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3.6可以连接第二通道体温进行双道温度监测和温度差值的趋势显示，设置核心体温和外周体温的差值报警</w:t>
      </w:r>
      <w:r>
        <w:rPr>
          <w:rFonts w:hint="eastAsia" w:ascii="宋体" w:hAnsi="宋体" w:eastAsia="宋体"/>
          <w:b w:val="0"/>
          <w:bCs w:val="0"/>
          <w:sz w:val="24"/>
          <w:szCs w:val="18"/>
          <w:lang w:val="en-US" w:eastAsia="zh-CN"/>
        </w:rPr>
        <w:tab/>
      </w:r>
      <w:r>
        <w:rPr>
          <w:rFonts w:hint="eastAsia" w:ascii="宋体" w:hAnsi="宋体" w:eastAsia="宋体"/>
          <w:b w:val="0"/>
          <w:bCs w:val="0"/>
          <w:sz w:val="24"/>
          <w:szCs w:val="18"/>
          <w:lang w:val="en-US" w:eastAsia="zh-CN"/>
        </w:rPr>
        <w:tab/>
      </w:r>
      <w:r>
        <w:rPr>
          <w:rFonts w:hint="eastAsia" w:ascii="宋体" w:hAnsi="宋体" w:eastAsia="宋体"/>
          <w:b w:val="0"/>
          <w:bCs w:val="0"/>
          <w:sz w:val="24"/>
          <w:szCs w:val="18"/>
          <w:lang w:val="en-US" w:eastAsia="zh-CN"/>
        </w:rPr>
        <w:tab/>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4、湿度控制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4.1内置伺服湿化，连续显示箱内相对湿度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4.2通过沸腾和蒸发的无污染的湿化系统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4.3使用直接滴注方式的闭环湿化系统</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4.4 ＞3升的可视湿化水供应</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4.5湿度测量范围10 － 99 % r. H</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★4.6湿度设置范围：30%-99% r.h.，可根据箱内温度自动调节湿度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4.7自洁模式，自动蒸发湿化管道中的残余水分</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lang w:val="en-US" w:eastAsia="zh-CN"/>
        </w:rPr>
        <w:t>5、氧浓度控</w:t>
      </w:r>
      <w:r>
        <w:rPr>
          <w:rFonts w:hint="eastAsia" w:ascii="宋体" w:hAnsi="宋体" w:eastAsia="宋体"/>
          <w:b w:val="0"/>
          <w:bCs w:val="0"/>
          <w:sz w:val="24"/>
          <w:szCs w:val="18"/>
          <w:highlight w:val="none"/>
          <w:lang w:val="en-US" w:eastAsia="zh-CN"/>
        </w:rPr>
        <w:t>制 (此部分为选配，不在本此报价内）</w:t>
      </w:r>
      <w:r>
        <w:rPr>
          <w:rFonts w:hint="eastAsia" w:ascii="宋体" w:hAnsi="宋体" w:eastAsia="宋体"/>
          <w:b w:val="0"/>
          <w:bCs w:val="0"/>
          <w:sz w:val="24"/>
          <w:szCs w:val="18"/>
          <w:highlight w:val="none"/>
          <w:lang w:val="en-US" w:eastAsia="zh-CN"/>
        </w:rPr>
        <w:tab/>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5.1内置伺服氧浓度控制，连续显示箱内氧浓度</w:t>
      </w:r>
      <w:r>
        <w:rPr>
          <w:rFonts w:hint="eastAsia" w:ascii="宋体" w:hAnsi="宋体" w:eastAsia="宋体"/>
          <w:b w:val="0"/>
          <w:bCs w:val="0"/>
          <w:sz w:val="24"/>
          <w:szCs w:val="18"/>
          <w:highlight w:val="none"/>
          <w:lang w:val="en-US" w:eastAsia="zh-CN"/>
        </w:rPr>
        <w:tab/>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5.2连续氧浓度监测通过两个互为独立的氧电池</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5.3传感器通过周围空气调节标定(21% 氧气)</w:t>
      </w:r>
      <w:r>
        <w:rPr>
          <w:rFonts w:hint="eastAsia" w:ascii="宋体" w:hAnsi="宋体" w:eastAsia="宋体"/>
          <w:b w:val="0"/>
          <w:bCs w:val="0"/>
          <w:sz w:val="24"/>
          <w:szCs w:val="18"/>
          <w:highlight w:val="none"/>
          <w:lang w:val="en-US" w:eastAsia="zh-CN"/>
        </w:rPr>
        <w:tab/>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5.4氧电池寿命大于2年</w:t>
      </w:r>
      <w:r>
        <w:rPr>
          <w:rFonts w:hint="eastAsia" w:ascii="宋体" w:hAnsi="宋体" w:eastAsia="宋体"/>
          <w:b w:val="0"/>
          <w:bCs w:val="0"/>
          <w:sz w:val="24"/>
          <w:szCs w:val="18"/>
          <w:highlight w:val="none"/>
          <w:lang w:val="en-US" w:eastAsia="zh-CN"/>
        </w:rPr>
        <w:tab/>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6、辐射加热操作模式</w:t>
      </w:r>
      <w:r>
        <w:rPr>
          <w:rFonts w:hint="eastAsia" w:ascii="宋体" w:hAnsi="宋体" w:eastAsia="宋体"/>
          <w:b w:val="0"/>
          <w:bCs w:val="0"/>
          <w:sz w:val="24"/>
          <w:szCs w:val="18"/>
          <w:highlight w:val="none"/>
          <w:lang w:val="en-US" w:eastAsia="zh-CN"/>
        </w:rPr>
        <w:tab/>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6.1双重辐射加热器，床面辐射热分布均匀</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6.2辐射头功率自动适应床垫倾斜角度，保持床面加热均匀</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6.3预热模式，具备自动加热三个阶段</w:t>
      </w:r>
      <w:r>
        <w:rPr>
          <w:rFonts w:hint="eastAsia" w:ascii="宋体" w:hAnsi="宋体" w:eastAsia="宋体"/>
          <w:b w:val="0"/>
          <w:bCs w:val="0"/>
          <w:sz w:val="24"/>
          <w:szCs w:val="18"/>
          <w:highlight w:val="none"/>
          <w:lang w:val="en-US" w:eastAsia="zh-CN"/>
        </w:rPr>
        <w:tab/>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7、智能温度调节模式(此部分为选配，不在本此报价内）</w:t>
      </w:r>
      <w:r>
        <w:rPr>
          <w:rFonts w:hint="eastAsia" w:ascii="宋体" w:hAnsi="宋体" w:eastAsia="宋体"/>
          <w:b w:val="0"/>
          <w:bCs w:val="0"/>
          <w:sz w:val="24"/>
          <w:szCs w:val="18"/>
          <w:highlight w:val="none"/>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highlight w:val="none"/>
          <w:lang w:val="en-US" w:eastAsia="zh-CN"/>
        </w:rPr>
        <w:t>7.1亚低温模式，支持亚低温治疗，加热</w:t>
      </w:r>
      <w:r>
        <w:rPr>
          <w:rFonts w:hint="eastAsia" w:ascii="宋体" w:hAnsi="宋体" w:eastAsia="宋体"/>
          <w:b w:val="0"/>
          <w:bCs w:val="0"/>
          <w:sz w:val="24"/>
          <w:szCs w:val="18"/>
          <w:lang w:val="en-US" w:eastAsia="zh-CN"/>
        </w:rPr>
        <w:t>元件关闭的同时暖箱仍能进行温度监测，湿度控制，高度调节，床垫倾斜和称重等操作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7.2复温模式，自动程序升温</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7.3脱机模式，帮助患儿自动脱机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8、用户界面</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★8.1显示器≥10.4英寸， 彩色触摸屏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8.2具备至少四种不同界面布局可选：主界面，双道温度界面，发育性照护界面和探视模式界面</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8.3基于病人日龄，孕周和体重的空气温度设置的智能推荐值</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8.4内置APGAR 计时器和秒表功能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8.5趋势图和趋势表显示2小时到7天的温度，加热器功率，噪音和外接光线和病人体重，以及箱盖打开，翻门打开等操作的事件</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8.6白天和夜间显示屏幕可以配置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8.7高度调节，床体倾斜调节和屏幕设置具备锁定功能，以防误操作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9、数据接口及联网</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9.1病人数据和设备配置导入和导出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9.2通过串口进行数据交换</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10、报警管理</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10.1所有报警有听觉和视觉提醒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10.2中心报警灯清晰，根据不同报警级别用不同颜色显示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10.3报警文字的清晰显示，包括报警原因和解决方法</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11、支持发育性照护和家庭参与</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11.1减压床垫</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11.2声音</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★（1）箱内噪音≤40dB (A)</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（2）内置的箱内噪音水平测量，显示在主屏幕上(此部分为选配，不在本此报价内）</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（3）连接外部设备可以通过内置的扬声器播放音乐，父母的语音（连接MP3播放器或手机）(此部分为选配，不在本此报价内）</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11.3光线</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（1）内置的箱内光线水平测量，显示在主屏幕上(此部分为选配，不在本此报价内）</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（2）即使覆盖箱罩，箱内的内置夜灯可以检查病人的情况</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（3）内置情景照明，灯光有7色可选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★11.4标配袋鼠模式，监测患儿出箱体温，计时器和报警延迟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12、人体工程学设计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12.1箱盖打开</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12.1.1从两侧机械式打开或关闭箱盖，打开箱盖耗时小于2秒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★12.1.2可以在断电或关闭电源情况下开启箱盖</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12.1.3开启箱盖，两侧翻门和前端翻门，完全暴露患儿</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12.2单手一步打开翻门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12.3手门至少5个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12.4可用肘部打开开手门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12.5箱体高度调节：通过双侧脚踏板电动调节箱体高度，箱体高度调节无级变速，超过400 mm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12.6床垫高度及倾斜度调节：可从箱外双侧进行；床垫高度调节无极变速，平稳，升高范围超过90mm；床垫倾斜调节无极变速，头位调节0—±13度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12.7床垫：床垫大小450 mm x 690 mm，可从双侧取出床体</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12.8内置摄片盒：无需打开翻门；可从双侧取出摄片盒；X光摄片盒容纳尺寸464 mm x 379 mm；如需放入更大尺寸的底片或DR，可直接取出摄片盒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12.9体重秤：称重快速，精度为1g；可以从测量数据中减去重量，如尿片</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12.10管道出入口：至少10个；分布于箱体的前后左右各个部位；单手可以拆卸</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12.11脚轮：轮子均为双轮带刹车设计；至少有一轮可以锁定作为导向轮方便直线推行；抗静电设计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12.12其他</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12.12.1双侧都可方便操作者坐位进行操作，具备容纳膝盖的位置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12.12.2内置工作灯有三种亮度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12.12.3翻门打开或操作者坐位仍可打开抽屉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12.12.4设备双侧均有导轨可以外接附件支臂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12.12.5设备上可以装载两个压缩气瓶，方便院内转运</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12.12.6监护仪，输液架，搁板，检查灯，蓝光灯，负压吸引装置均可固定在设备两侧，可以承受80kg的附件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12.12.7可辅助光疗支持</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12.13清洁和维护</w:t>
      </w:r>
      <w:r>
        <w:rPr>
          <w:rFonts w:hint="eastAsia" w:ascii="宋体" w:hAnsi="宋体" w:eastAsia="宋体"/>
          <w:b w:val="0"/>
          <w:bCs w:val="0"/>
          <w:sz w:val="24"/>
          <w:szCs w:val="18"/>
          <w:lang w:val="en-US" w:eastAsia="zh-CN"/>
        </w:rPr>
        <w:tab/>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12.13.1湿化自洁模式，蒸发湿化管道里的残余水分</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12.13.2须拆卸的部件小于20个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12.13.3装配简单，部件限定一种正确的装配方式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12.13.4具备维修模式，患儿箱体底部的部件可以轻松接触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12.13.5远程诊断</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12.14材质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12.14.1患儿箱内所有部件不含聚碳酸酯双酚</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12.14.2设备所有部件不含乳胶</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（二）双面光疗箱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1、工作电源：AC220V/50HZ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2、输入功率：≤600VA箱温控制，肤温监测，LED显示；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3、具有双面辐照功能，上灯箱光源为内置的蓝光灯管,下灯箱光源为内置的LED光源；</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4、具有光照治疗时间计时功能；前面板具有温度校正功能；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5、具有正门独立锁定装置；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6、自然风道加湿；抽拉式水箱；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7、婴儿床可从侧面拉出,两侧和正门的有机玻璃可打开；</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8、采用永磁无刷直流电机驱动热循环，能有效的控制温度。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9、上箱体（含上灯箱、控制仪、婴儿床）及下箱体（含下灯箱、储物柜）。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10、控温方式：箱温控制，肤温监测</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★11、控温范围：25℃~34℃肤温显示范围：5℃~65℃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12、黄疸箱温度显示的平均值与实际黄疸箱温度平均值之差：≤±0.8℃</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13、皮肤温度传感器精度：±0.3℃床面温度均匀性：≤0.8℃；婴儿舱内噪声：≤55dB（A）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14、故障报警：超温、传感器、偏差、风机、断电、系统报警等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15、床面上有效表面内的总辐照度：≥1.5mW/cm</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（上灯箱）；≥3.0mW/cm</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（下灯箱）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16、床面上有效表面内的胆红素总辐照度平均值：≥1.4mW/cm</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（上灯箱）；≥2.5mW/cm</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（下灯箱）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17、床面上有效表面内的最高胆红素总辐照度：1.6mW/cm</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（上灯箱）；3.5mW/cm</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（下灯箱）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18、床面上有效表面内的胆红素总辐照度均匀性：＞0.4</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19、黄疸治疗光源主波长：420nm-470nm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20、为确保产品的安全性，成交供应商须提供本地化售后服务</w:t>
      </w:r>
      <w:r>
        <w:rPr>
          <w:rFonts w:hint="eastAsia" w:ascii="宋体" w:hAnsi="宋体" w:eastAsia="宋体"/>
          <w:b/>
          <w:bCs/>
          <w:sz w:val="24"/>
          <w:szCs w:val="18"/>
          <w:lang w:val="en-US" w:eastAsia="zh-CN"/>
        </w:rPr>
        <w:t>（响应文件中提供合肥市内售后服务点的地址及联系方式或承诺合同签订后即设立合肥市内售后服务点）</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21、产品使用寿命不少于六年</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（三）单面光疗箱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1、辐照灯箱的角度可调；辐照灯箱的高度可调；配有计时器；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2、脚轮可供锁定；</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3、不锈钢立柱。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4、辐照灯箱和可移动机架。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5、工作电源：AC220V/ 50HZ，输入功率：75VA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6、光源：LED≥450个冷光源</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7、LED寿命：20000小时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8、蓝光波长：400nm～550nm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9、有效表面内的最高胆红素总辐照度：4.0mW/cm²</w:t>
      </w:r>
    </w:p>
    <w:p>
      <w:pPr>
        <w:spacing w:line="360" w:lineRule="auto"/>
        <w:ind w:firstLine="437"/>
        <w:rPr>
          <w:rFonts w:hint="default"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10、有效表面内的总辐照度：≥3.7mW/cm</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，胆红素总辐照度平均值：≥2.5mW/cm</w:t>
      </w:r>
      <w:r>
        <w:rPr>
          <w:rFonts w:hint="eastAsia" w:ascii="宋体" w:hAnsi="宋体" w:eastAsia="宋体"/>
          <w:b w:val="0"/>
          <w:bCs w:val="0"/>
          <w:sz w:val="24"/>
          <w:szCs w:val="18"/>
          <w:vertAlign w:val="superscript"/>
          <w:lang w:val="en-US" w:eastAsia="zh-CN"/>
        </w:rPr>
        <w:t>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11、胆红素总辐照度均匀性：＞0.4</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12、辐照灯箱可调高度：1350mm～1650mm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13、辐射角度：灯箱可与水平方向成0-90度之间任意调节并锁定；计时范围：0～9999小时59分</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14、工作噪声：≤45dB（A）[环境噪声在≤35dB(A)以下]</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（四）婴儿辐射保暖台</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1、整机注册，一机多用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2、适用对象：≤10Kg的新生儿</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3、操作环境要求：温度：+18℃～+30℃；湿度：30%RH～75%RH；大气压力：700hPa～1060hPa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4、运输和贮存环境要求：温度：-40℃～+55℃，湿度：≤93%RH，大气压力：500hPa～1060hPa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5、应用环境海拔：≤2000m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6、过压类别：II</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7、污染等级：2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8、进液防护等级：IPX0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9、保暖台外形尺寸（约）：L1100×W730×H1770mm（降低）；L1100×W730×H1970mm（升高）</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10、保暖台重量：约120kg（升降式机架配置时）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11、周围环境空气流速：低于0.3m/s</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lang w:val="en-US" w:eastAsia="zh-CN"/>
        </w:rPr>
        <w:t>12、托盘</w:t>
      </w:r>
      <w:r>
        <w:rPr>
          <w:rFonts w:hint="eastAsia" w:ascii="宋体" w:hAnsi="宋体" w:eastAsia="宋体"/>
          <w:b w:val="0"/>
          <w:bCs w:val="0"/>
          <w:sz w:val="24"/>
          <w:szCs w:val="18"/>
          <w:highlight w:val="none"/>
          <w:lang w:val="en-US" w:eastAsia="zh-CN"/>
        </w:rPr>
        <w:t>最大承载重量：≥2Kg，输液架最大承载重量：≥2Kg</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13、婴儿床最大承载重量：≥10Kg，抽屉最大承载重量：≥5Kg</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14、侧立柱支架最大承载重量：≥10Kg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highlight w:val="none"/>
          <w:lang w:val="en-US" w:eastAsia="zh-CN"/>
        </w:rPr>
        <w:t>15、电源输入要求：AC 220V/</w:t>
      </w:r>
      <w:r>
        <w:rPr>
          <w:rFonts w:hint="eastAsia" w:ascii="宋体" w:hAnsi="宋体" w:eastAsia="宋体"/>
          <w:b w:val="0"/>
          <w:bCs w:val="0"/>
          <w:sz w:val="24"/>
          <w:szCs w:val="18"/>
          <w:lang w:val="en-US" w:eastAsia="zh-CN"/>
        </w:rPr>
        <w:t>50Hz，电源输入功率：750VA，最大加热器输出功率：580W/240V</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16、辅助网电源输出：AC 220V/50Hz，最大容许电流0.3A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17、医用气体低压软管组件工作压力：0kPa～1000kPa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18、医用气体低压软管组件流量范围：160L/min～500L/min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19、加热器指示：0～100%，10%增调量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20、温度控制模式：预热模式、手控模式、肤温模式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21、肤温模式下温度控制范围：32℃~37.5℃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★22、肤温传感器显示范围：5℃~65℃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23、肤温传感器测得的温度与控制温度之差：≤0.5℃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★24、肤温传感器精度：±0.2℃，内床面温度均匀性：≤2℃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25、报警：断电报警，设置报警，检查报警，传感器报警，超温报警，偏差报警，系统错误报警，血氧报警，脉搏上限报警，脉搏下限报警，SpO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上限报警，SpO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下限报警，系统提示报警，单气源故障报警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26、APGAR评分：运行到50秒～1分钟、4分50秒～5分钟、9分50秒～10分钟时发出声光提示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27、床面有效辐照区域内的最高胆红素总辐照度：0.9mW/cm</w:t>
      </w:r>
      <w:r>
        <w:rPr>
          <w:rFonts w:hint="eastAsia" w:ascii="宋体" w:hAnsi="宋体" w:eastAsia="宋体"/>
          <w:b w:val="0"/>
          <w:bCs w:val="0"/>
          <w:sz w:val="24"/>
          <w:szCs w:val="18"/>
          <w:vertAlign w:val="superscript"/>
          <w:lang w:val="en-US" w:eastAsia="zh-CN"/>
        </w:rPr>
        <w:t>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28、床面有效辐射区域内的胆红素总辐照度均匀性：＞0.4</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29、床面有效辐射区域内的胆红素总辐照度平均值：不低于0.58mW/cm</w:t>
      </w:r>
      <w:r>
        <w:rPr>
          <w:rFonts w:hint="eastAsia" w:ascii="宋体" w:hAnsi="宋体" w:eastAsia="宋体"/>
          <w:b w:val="0"/>
          <w:bCs w:val="0"/>
          <w:sz w:val="24"/>
          <w:szCs w:val="18"/>
          <w:vertAlign w:val="superscript"/>
          <w:lang w:val="en-US" w:eastAsia="zh-CN"/>
        </w:rPr>
        <w:t>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30、床面上有效辐射区域内的总辐照度：不低于0.66mW/cm</w:t>
      </w:r>
      <w:r>
        <w:rPr>
          <w:rFonts w:hint="eastAsia" w:ascii="宋体" w:hAnsi="宋体" w:eastAsia="宋体"/>
          <w:b w:val="0"/>
          <w:bCs w:val="0"/>
          <w:sz w:val="24"/>
          <w:szCs w:val="18"/>
          <w:vertAlign w:val="superscript"/>
          <w:lang w:val="en-US" w:eastAsia="zh-CN"/>
        </w:rPr>
        <w:t>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31、黄疸治疗装置的工作噪声：环境噪声不大于40dB(A)下，工作噪声不大于50dB(A)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32、脉搏血氧声音暂停持续时间：1分钟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33、更新周期：1秒，响应时间：≤20秒，延时：≤10秒，心搏停止检测时间：≤8秒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34、显示范围：1～100%，校准范围：70～100%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35、测量精度：无体动：±3%；体动：±3%；低灌注：±3%</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36、显示分辨度：1%</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37、报警上限设置范围：50～100%，报警下限设置范围：45～95%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38、显示范围：25～240 bpm，校准范围：25～240 bpm，显示分辨度：1 bpm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38、测量精度：无体动：±3 bpm；体动：±5 bpm；低灌注：±3 bpm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40、报警上限设置范围：80～240 bpm，报警下限设置范围：35～180 bpm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41、PI性能显示范围：0.02～20.0%，校准范围：0.10～20.0%，显示分辨率：0.01%</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42、模式选择：</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①平均化时间：2～4、4～6、8、10、12、14、16秒，出厂预设为8秒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②灵敏度设置：Normal、APOD、Max，出厂预设为Normal</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③FastSAT：关闭、启用，出厂预设为关闭</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43、婴儿复苏系统装置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①气源供应：医用氧气与空气（管道压缩供气系统或者压缩气瓶供气）</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②气源输入压力范围：300～500kPa (45～75Psi)</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③气源流量：≥50L/min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44、负压吸引功能：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①负压设置阀设置范围：0～18.67 ±1.33kPa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                   （0～140±10mmHg）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②负压自由气流流量：＜20L/min（最大负压设置时）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③负压响应时间：当输入气源压力为500kPa时，10秒内负压至少应达到17.34kPa (130mmHg)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④负压表量程范围：0～21kPa（0～160mmHg）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⑤负压表精度：±5%满刻度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⑥气体损耗量：＜28L/min（最大负压设置时）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45、输氧功能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①氧浓度设置范围：21%～100%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②精度：≤±3%（V/V）</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③流量设置范围：0～15L/min，有级设置分别为0、0.5、1、2、3、4、5、6、8、10、12、15（L/min）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④流量输出精度：0.5、1、2、3、4L/min时为±0.5L/min；5、6、8、10L/min时为±1L/min；12、15L/min时为±2L/min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46、T型复苏功能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46.1隔膜式压力表量程：-10～80cmH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46.2压力表精确度：±2%满刻度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46.3 T型复苏功能及其相关附件的死腔体积：≤6ml</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46.4 T型复苏功能呼气相的吸气阻抗以及呼气阻抗：在呼气相，当吸气流量为6L/min时，患者连接口处的压力＞-6cmH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46.5在呼气相，当呼气流量为6L/min时，患 者连接口处的压力＜6cmH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46.6最大安全压力（Pmax）设置范围：1～60cmH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O，出厂以及检测默认设置值：40 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O，可调节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46.7吸气峰压（PIP）设置范围：当流量为5L/min，1～57cmH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46.8当流量为8L/min，2～58cmH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46.9当流量为10L/min，3～59cmH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46.10当流量为15L/min，5～60cmH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46.11出厂以及检测默认设置值：20cmH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O，可调节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46.12呼气末正压（PEEP）设置范围：当流量为5L/min，0～8cmH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46.13当流量为8L/min，0.2～17cmH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46.14当流量为10L/min，0.5～23cmH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46.15当流量为15L/min，1～28cmH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46.16在使用充满气体的4L压缩气瓶供气的情况下，当设置复苏气体流量为8L/min时，气源大致持续时间：75min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47、机器使用寿命八年。</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（五）亚低温治疗仪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1、标准配置：主机一台、控温毯一条、控温帽一个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2、通过全项目电磁兼容EMC检测，抗电磁干扰能力强。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★3、制冷方式：无氟压缩机，性能稳定，可长时间连续使用。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★4、加热方式：采用氮化硅加热系统，速度快。性能稳定。</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5、全电脑自动控制，控温精确，运行数据随时查询。</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6、采用快接装置，双向带自锁，防止液体外溢。</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7、控温方式：机控（手动模式：三温控制）体控（自动模式）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8、语音和声光智能报警功能：系统故障报警，水温超温报警，传感器脱落或损坏报警，缺水报警，除尘报警。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9、控温帽、控温毯采用TPU材质，独特的蜂窝状设计，水循环更通畅。表面柔软，可任意折叠、卷曲、清洗、消毒，并配有同规格毯罩，易拆洗，美观、舒适。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10、电源（AC）：220V±10%   50Hz±1Hz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11、毯帽降温温度范围：2-39℃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12、温度显示范围:-4-49℃</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13、控温精度：±0.2℃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14、水温范围：-4-38℃</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15、噪音：≤48db</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16、整机功耗：660VA</w:t>
      </w:r>
    </w:p>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rPr>
          <w:rFonts w:ascii="宋体" w:hAnsi="宋体"/>
          <w:sz w:val="24"/>
          <w:szCs w:val="28"/>
        </w:rPr>
      </w:pPr>
      <w:r>
        <w:rPr>
          <w:rFonts w:hint="eastAsia" w:ascii="宋体" w:hAnsi="宋体" w:eastAsia="宋体"/>
          <w:sz w:val="24"/>
          <w:szCs w:val="18"/>
        </w:rPr>
        <w:t>本项目</w:t>
      </w:r>
      <w:r>
        <w:rPr>
          <w:rFonts w:hint="eastAsia" w:ascii="宋体" w:hAnsi="宋体" w:eastAsia="宋体"/>
          <w:sz w:val="24"/>
          <w:szCs w:val="18"/>
          <w:lang w:val="en-US" w:eastAsia="zh-CN"/>
        </w:rPr>
        <w:t>报总价</w:t>
      </w:r>
      <w:r>
        <w:rPr>
          <w:rFonts w:hint="eastAsia" w:ascii="宋体" w:hAnsi="宋体" w:eastAsia="宋体"/>
          <w:sz w:val="24"/>
          <w:szCs w:val="18"/>
        </w:rPr>
        <w:t>，报价即完成本项目的全部内容的所有费用。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7811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5">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8">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9">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0">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Cs w:val="21"/>
    </w:r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List Number"/>
    <w:basedOn w:val="1"/>
    <w:unhideWhenUsed/>
    <w:qFormat/>
    <w:uiPriority w:val="0"/>
    <w:rPr>
      <w:rFonts w:ascii="黑体" w:hAnsi="Arial" w:eastAsia="黑体"/>
      <w:szCs w:val="24"/>
    </w:rPr>
  </w:style>
  <w:style w:type="paragraph" w:styleId="15">
    <w:name w:val="Normal Indent"/>
    <w:basedOn w:val="1"/>
    <w:link w:val="118"/>
    <w:qFormat/>
    <w:uiPriority w:val="0"/>
    <w:pPr>
      <w:spacing w:after="156"/>
      <w:ind w:firstLine="420"/>
    </w:pPr>
    <w:rPr>
      <w:rFonts w:ascii="Calibri" w:hAnsi="Calibri" w:cs="Plotter"/>
      <w:sz w:val="24"/>
      <w:szCs w:val="24"/>
    </w:rPr>
  </w:style>
  <w:style w:type="paragraph" w:styleId="16">
    <w:name w:val="caption"/>
    <w:basedOn w:val="1"/>
    <w:next w:val="1"/>
    <w:qFormat/>
    <w:uiPriority w:val="0"/>
    <w:rPr>
      <w:rFonts w:ascii="Calibri Light" w:hAnsi="Calibri Light" w:eastAsia="黑体"/>
      <w:sz w:val="20"/>
    </w:rPr>
  </w:style>
  <w:style w:type="paragraph" w:styleId="17">
    <w:name w:val="index 5"/>
    <w:basedOn w:val="1"/>
    <w:next w:val="1"/>
    <w:qFormat/>
    <w:uiPriority w:val="0"/>
    <w:pPr>
      <w:ind w:left="800" w:leftChars="800"/>
    </w:pPr>
  </w:style>
  <w:style w:type="paragraph" w:styleId="18">
    <w:name w:val="Document Map"/>
    <w:basedOn w:val="1"/>
    <w:link w:val="92"/>
    <w:qFormat/>
    <w:uiPriority w:val="0"/>
    <w:pPr>
      <w:shd w:val="clear" w:color="auto" w:fill="000080"/>
    </w:pPr>
  </w:style>
  <w:style w:type="paragraph" w:styleId="19">
    <w:name w:val="toa heading"/>
    <w:basedOn w:val="1"/>
    <w:next w:val="1"/>
    <w:qFormat/>
    <w:uiPriority w:val="0"/>
    <w:pPr>
      <w:spacing w:before="120"/>
    </w:pPr>
    <w:rPr>
      <w:rFonts w:ascii="Arial" w:hAnsi="Arial"/>
      <w:b/>
      <w:bCs/>
      <w:szCs w:val="24"/>
    </w:rPr>
  </w:style>
  <w:style w:type="paragraph" w:styleId="20">
    <w:name w:val="annotation text"/>
    <w:basedOn w:val="1"/>
    <w:link w:val="114"/>
    <w:qFormat/>
    <w:uiPriority w:val="0"/>
    <w:pPr>
      <w:jc w:val="left"/>
    </w:pPr>
  </w:style>
  <w:style w:type="paragraph" w:styleId="21">
    <w:name w:val="index 6"/>
    <w:basedOn w:val="1"/>
    <w:next w:val="1"/>
    <w:qFormat/>
    <w:uiPriority w:val="0"/>
    <w:pPr>
      <w:ind w:left="1000" w:leftChars="1000"/>
    </w:pPr>
  </w:style>
  <w:style w:type="paragraph" w:styleId="22">
    <w:name w:val="Body Text 3"/>
    <w:basedOn w:val="1"/>
    <w:link w:val="93"/>
    <w:qFormat/>
    <w:uiPriority w:val="99"/>
    <w:rPr>
      <w:rFonts w:ascii="黑体" w:hAnsi="Arial" w:eastAsia="黑体"/>
      <w:b/>
      <w:sz w:val="28"/>
    </w:rPr>
  </w:style>
  <w:style w:type="paragraph" w:styleId="23">
    <w:name w:val="List Bullet 3"/>
    <w:basedOn w:val="1"/>
    <w:unhideWhenUsed/>
    <w:qFormat/>
    <w:uiPriority w:val="0"/>
    <w:pPr>
      <w:adjustRightInd w:val="0"/>
      <w:spacing w:line="360" w:lineRule="atLeast"/>
      <w:contextualSpacing/>
      <w:jc w:val="left"/>
    </w:pPr>
    <w:rPr>
      <w:kern w:val="0"/>
      <w:sz w:val="24"/>
    </w:rPr>
  </w:style>
  <w:style w:type="paragraph" w:styleId="24">
    <w:name w:val="Body Text"/>
    <w:basedOn w:val="1"/>
    <w:link w:val="90"/>
    <w:qFormat/>
    <w:uiPriority w:val="99"/>
    <w:rPr>
      <w:rFonts w:ascii="宋体" w:hAnsi="Arial"/>
      <w:sz w:val="28"/>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qFormat/>
    <w:uiPriority w:val="0"/>
    <w:pPr>
      <w:spacing w:after="156"/>
    </w:pPr>
    <w:rPr>
      <w:rFonts w:ascii="宋体" w:hAnsi="Calibri"/>
      <w:szCs w:val="22"/>
    </w:rPr>
  </w:style>
  <w:style w:type="paragraph" w:styleId="27">
    <w:name w:val="List Bullet 2"/>
    <w:basedOn w:val="1"/>
    <w:unhideWhenUsed/>
    <w:qFormat/>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qFormat/>
    <w:uiPriority w:val="0"/>
    <w:pPr>
      <w:ind w:left="1470"/>
      <w:jc w:val="left"/>
    </w:pPr>
    <w:rPr>
      <w:szCs w:val="21"/>
    </w:rPr>
  </w:style>
  <w:style w:type="paragraph" w:styleId="33">
    <w:name w:val="index 3"/>
    <w:basedOn w:val="1"/>
    <w:next w:val="1"/>
    <w:qFormat/>
    <w:uiPriority w:val="0"/>
    <w:pPr>
      <w:ind w:left="400" w:leftChars="400"/>
    </w:pPr>
  </w:style>
  <w:style w:type="paragraph" w:styleId="34">
    <w:name w:val="Date"/>
    <w:basedOn w:val="1"/>
    <w:next w:val="1"/>
    <w:link w:val="89"/>
    <w:qFormat/>
    <w:uiPriority w:val="0"/>
    <w:rPr>
      <w:b/>
      <w:sz w:val="28"/>
    </w:rPr>
  </w:style>
  <w:style w:type="paragraph" w:styleId="35">
    <w:name w:val="Body Text Indent 2"/>
    <w:basedOn w:val="1"/>
    <w:link w:val="85"/>
    <w:qFormat/>
    <w:uiPriority w:val="0"/>
    <w:pPr>
      <w:ind w:left="630" w:firstLine="645"/>
    </w:pPr>
    <w:rPr>
      <w:rFonts w:ascii="Arial" w:hAnsi="Arial" w:eastAsia="仿宋_GB2312"/>
      <w:sz w:val="32"/>
    </w:rPr>
  </w:style>
  <w:style w:type="paragraph" w:styleId="36">
    <w:name w:val="Balloon Text"/>
    <w:basedOn w:val="1"/>
    <w:link w:val="73"/>
    <w:unhideWhenUsed/>
    <w:qFormat/>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qFormat/>
    <w:uiPriority w:val="0"/>
    <w:pPr>
      <w:ind w:left="420" w:hanging="420"/>
    </w:pPr>
  </w:style>
  <w:style w:type="paragraph" w:styleId="45">
    <w:name w:val="toc 6"/>
    <w:basedOn w:val="1"/>
    <w:next w:val="1"/>
    <w:qFormat/>
    <w:uiPriority w:val="0"/>
    <w:pPr>
      <w:ind w:left="1050"/>
      <w:jc w:val="left"/>
    </w:pPr>
    <w:rPr>
      <w:szCs w:val="21"/>
    </w:rPr>
  </w:style>
  <w:style w:type="paragraph" w:styleId="46">
    <w:name w:val="Body Text Indent 3"/>
    <w:basedOn w:val="1"/>
    <w:link w:val="88"/>
    <w:qFormat/>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qFormat/>
    <w:uiPriority w:val="39"/>
    <w:pPr>
      <w:ind w:left="210"/>
      <w:jc w:val="left"/>
    </w:pPr>
    <w:rPr>
      <w:smallCaps/>
      <w:sz w:val="18"/>
      <w:szCs w:val="24"/>
    </w:rPr>
  </w:style>
  <w:style w:type="paragraph" w:styleId="50">
    <w:name w:val="toc 9"/>
    <w:basedOn w:val="1"/>
    <w:next w:val="1"/>
    <w:qFormat/>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0"/>
    <w:next w:val="20"/>
    <w:link w:val="125"/>
    <w:unhideWhenUsed/>
    <w:qFormat/>
    <w:uiPriority w:val="0"/>
    <w:pPr>
      <w:adjustRightInd w:val="0"/>
      <w:spacing w:line="360" w:lineRule="atLeast"/>
    </w:pPr>
    <w:rPr>
      <w:b/>
      <w:bCs/>
      <w:kern w:val="0"/>
      <w:sz w:val="24"/>
    </w:rPr>
  </w:style>
  <w:style w:type="paragraph" w:styleId="57">
    <w:name w:val="Body Text First Indent"/>
    <w:basedOn w:val="1"/>
    <w:link w:val="10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qFormat/>
    <w:uiPriority w:val="99"/>
    <w:rPr>
      <w:sz w:val="18"/>
      <w:szCs w:val="18"/>
    </w:rPr>
  </w:style>
  <w:style w:type="paragraph" w:customStyle="1" w:styleId="69">
    <w:name w:val="Char Char Char Char Char Char Char1 Char"/>
    <w:basedOn w:val="1"/>
    <w:qFormat/>
    <w:uiPriority w:val="0"/>
    <w:rPr>
      <w:rFonts w:ascii="Tahoma" w:hAnsi="Tahoma" w:eastAsia="仿宋_GB2312"/>
      <w:sz w:val="24"/>
      <w:szCs w:val="32"/>
    </w:rPr>
  </w:style>
  <w:style w:type="character" w:customStyle="1" w:styleId="70">
    <w:name w:val="正文文本缩进 Char"/>
    <w:link w:val="25"/>
    <w:qFormat/>
    <w:uiPriority w:val="0"/>
    <w:rPr>
      <w:rFonts w:ascii="楷体_GB2312" w:eastAsia="楷体_GB2312"/>
      <w:sz w:val="32"/>
    </w:rPr>
  </w:style>
  <w:style w:type="character" w:customStyle="1" w:styleId="71">
    <w:name w:val="正文文本缩进 Char1"/>
    <w:basedOn w:val="60"/>
    <w:qFormat/>
    <w:uiPriority w:val="0"/>
    <w:rPr>
      <w:rFonts w:ascii="Times New Roman" w:hAnsi="Times New Roman" w:eastAsia="宋体" w:cs="Times New Roman"/>
      <w:szCs w:val="20"/>
    </w:rPr>
  </w:style>
  <w:style w:type="character" w:customStyle="1" w:styleId="72">
    <w:name w:val="标题 Char"/>
    <w:basedOn w:val="60"/>
    <w:link w:val="55"/>
    <w:qFormat/>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qFormat/>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3"/>
    <w:qFormat/>
    <w:uiPriority w:val="0"/>
    <w:rPr>
      <w:rFonts w:ascii="Arial" w:hAnsi="Arial" w:eastAsia="黑体" w:cs="Times New Roman"/>
      <w:b/>
      <w:bCs/>
      <w:sz w:val="32"/>
      <w:szCs w:val="32"/>
    </w:rPr>
  </w:style>
  <w:style w:type="character" w:customStyle="1" w:styleId="77">
    <w:name w:val="标题 5 Char"/>
    <w:basedOn w:val="60"/>
    <w:link w:val="6"/>
    <w:qFormat/>
    <w:uiPriority w:val="0"/>
    <w:rPr>
      <w:rFonts w:ascii="Times New Roman" w:hAnsi="Times New Roman" w:eastAsia="宋体" w:cs="Times New Roman"/>
      <w:b/>
      <w:bCs/>
      <w:sz w:val="28"/>
      <w:szCs w:val="28"/>
    </w:rPr>
  </w:style>
  <w:style w:type="character" w:customStyle="1" w:styleId="78">
    <w:name w:val="标题 1 Char"/>
    <w:basedOn w:val="60"/>
    <w:link w:val="2"/>
    <w:qFormat/>
    <w:uiPriority w:val="0"/>
    <w:rPr>
      <w:rFonts w:ascii="Times New Roman" w:hAnsi="Times New Roman" w:eastAsia="宋体" w:cs="Times New Roman"/>
      <w:b/>
      <w:bCs/>
      <w:kern w:val="44"/>
      <w:sz w:val="30"/>
      <w:szCs w:val="44"/>
    </w:rPr>
  </w:style>
  <w:style w:type="character" w:customStyle="1" w:styleId="79">
    <w:name w:val="标题 3 Char"/>
    <w:basedOn w:val="60"/>
    <w:link w:val="4"/>
    <w:qFormat/>
    <w:uiPriority w:val="0"/>
    <w:rPr>
      <w:rFonts w:ascii="宋体" w:hAnsi="Times New Roman" w:eastAsia="宋体" w:cs="Times New Roman"/>
      <w:b/>
      <w:bCs/>
      <w:sz w:val="32"/>
      <w:szCs w:val="32"/>
    </w:rPr>
  </w:style>
  <w:style w:type="character" w:customStyle="1" w:styleId="80">
    <w:name w:val="标题 4 Char"/>
    <w:basedOn w:val="60"/>
    <w:link w:val="5"/>
    <w:qFormat/>
    <w:uiPriority w:val="0"/>
    <w:rPr>
      <w:rFonts w:ascii="Arial" w:hAnsi="Arial" w:eastAsia="黑体" w:cs="Times New Roman"/>
      <w:b/>
      <w:bCs/>
      <w:sz w:val="28"/>
      <w:szCs w:val="28"/>
    </w:rPr>
  </w:style>
  <w:style w:type="character" w:customStyle="1" w:styleId="81">
    <w:name w:val="标题 6 Char"/>
    <w:basedOn w:val="60"/>
    <w:link w:val="7"/>
    <w:qFormat/>
    <w:uiPriority w:val="0"/>
    <w:rPr>
      <w:rFonts w:ascii="宋体" w:hAnsi="宋体" w:eastAsia="宋体" w:cs="Times New Roman"/>
      <w:kern w:val="0"/>
      <w:sz w:val="28"/>
      <w:szCs w:val="20"/>
    </w:rPr>
  </w:style>
  <w:style w:type="character" w:customStyle="1" w:styleId="82">
    <w:name w:val="标题 7 Char"/>
    <w:basedOn w:val="60"/>
    <w:link w:val="8"/>
    <w:qFormat/>
    <w:uiPriority w:val="0"/>
    <w:rPr>
      <w:rFonts w:ascii="Arial" w:hAnsi="Arial" w:eastAsia="仿宋_GB2312" w:cs="Arial"/>
      <w:b/>
      <w:bCs/>
      <w:spacing w:val="-4"/>
      <w:sz w:val="24"/>
      <w:szCs w:val="24"/>
    </w:rPr>
  </w:style>
  <w:style w:type="character" w:customStyle="1" w:styleId="83">
    <w:name w:val="标题 8 Char"/>
    <w:basedOn w:val="60"/>
    <w:link w:val="9"/>
    <w:qFormat/>
    <w:uiPriority w:val="0"/>
    <w:rPr>
      <w:rFonts w:ascii="Times New Roman" w:hAnsi="Times New Roman" w:eastAsia="宋体" w:cs="Times New Roman"/>
      <w:kern w:val="0"/>
      <w:sz w:val="24"/>
      <w:szCs w:val="20"/>
    </w:rPr>
  </w:style>
  <w:style w:type="character" w:customStyle="1" w:styleId="84">
    <w:name w:val="标题 9 Char"/>
    <w:basedOn w:val="60"/>
    <w:link w:val="10"/>
    <w:qFormat/>
    <w:uiPriority w:val="0"/>
    <w:rPr>
      <w:rFonts w:ascii="Times New Roman" w:hAnsi="Times New Roman" w:eastAsia="宋体" w:cs="Times New Roman"/>
      <w:kern w:val="0"/>
      <w:sz w:val="24"/>
      <w:szCs w:val="20"/>
    </w:rPr>
  </w:style>
  <w:style w:type="character" w:customStyle="1" w:styleId="85">
    <w:name w:val="正文文本缩进 2 Char"/>
    <w:basedOn w:val="60"/>
    <w:link w:val="35"/>
    <w:qFormat/>
    <w:uiPriority w:val="0"/>
    <w:rPr>
      <w:rFonts w:ascii="Arial" w:hAnsi="Arial" w:eastAsia="仿宋_GB2312" w:cs="Times New Roman"/>
      <w:sz w:val="32"/>
      <w:szCs w:val="20"/>
    </w:rPr>
  </w:style>
  <w:style w:type="character" w:customStyle="1" w:styleId="86">
    <w:name w:val="纯文本 Char"/>
    <w:basedOn w:val="60"/>
    <w:qFormat/>
    <w:uiPriority w:val="0"/>
    <w:rPr>
      <w:rFonts w:ascii="宋体" w:hAnsi="Courier New" w:eastAsia="宋体" w:cs="Courier New"/>
      <w:szCs w:val="21"/>
    </w:rPr>
  </w:style>
  <w:style w:type="character" w:customStyle="1" w:styleId="87">
    <w:name w:val="纯文本 Char1"/>
    <w:link w:val="31"/>
    <w:qFormat/>
    <w:locked/>
    <w:uiPriority w:val="0"/>
    <w:rPr>
      <w:rFonts w:ascii="宋体" w:hAnsi="Courier New" w:eastAsia="宋体" w:cs="Times New Roman"/>
      <w:szCs w:val="20"/>
    </w:rPr>
  </w:style>
  <w:style w:type="character" w:customStyle="1" w:styleId="88">
    <w:name w:val="正文文本缩进 3 Char"/>
    <w:basedOn w:val="60"/>
    <w:link w:val="46"/>
    <w:qFormat/>
    <w:uiPriority w:val="0"/>
    <w:rPr>
      <w:rFonts w:ascii="仿宋_GB2312" w:hAnsi="Arial" w:eastAsia="仿宋_GB2312" w:cs="Times New Roman"/>
      <w:color w:val="000000"/>
      <w:sz w:val="30"/>
      <w:szCs w:val="20"/>
    </w:rPr>
  </w:style>
  <w:style w:type="character" w:customStyle="1" w:styleId="89">
    <w:name w:val="日期 Char"/>
    <w:basedOn w:val="60"/>
    <w:link w:val="34"/>
    <w:qFormat/>
    <w:uiPriority w:val="0"/>
    <w:rPr>
      <w:rFonts w:ascii="Times New Roman" w:hAnsi="Times New Roman" w:eastAsia="宋体" w:cs="Times New Roman"/>
      <w:b/>
      <w:sz w:val="28"/>
      <w:szCs w:val="20"/>
    </w:rPr>
  </w:style>
  <w:style w:type="character" w:customStyle="1" w:styleId="90">
    <w:name w:val="正文文本 Char"/>
    <w:basedOn w:val="60"/>
    <w:link w:val="24"/>
    <w:qFormat/>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8"/>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2"/>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qFormat/>
    <w:uiPriority w:val="0"/>
    <w:rPr>
      <w:rFonts w:ascii="Arial" w:hAnsi="Arial" w:eastAsia="仿宋_GB2312" w:cs="Arial"/>
      <w:kern w:val="0"/>
      <w:sz w:val="24"/>
      <w:szCs w:val="32"/>
    </w:rPr>
  </w:style>
  <w:style w:type="paragraph" w:customStyle="1" w:styleId="105">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qFormat/>
    <w:uiPriority w:val="0"/>
    <w:pPr>
      <w:spacing w:before="156" w:line="400" w:lineRule="atLeast"/>
      <w:ind w:firstLine="540" w:firstLineChars="225"/>
    </w:pPr>
    <w:rPr>
      <w:sz w:val="24"/>
    </w:rPr>
  </w:style>
  <w:style w:type="paragraph" w:customStyle="1" w:styleId="107">
    <w:name w:val="D&amp;L"/>
    <w:basedOn w:val="38"/>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qFormat/>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5"/>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qFormat/>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0"/>
    <w:qFormat/>
    <w:uiPriority w:val="99"/>
    <w:rPr>
      <w:rFonts w:ascii="Times New Roman" w:hAnsi="Times New Roman" w:eastAsia="宋体" w:cs="Times New Roman"/>
      <w:szCs w:val="20"/>
    </w:rPr>
  </w:style>
  <w:style w:type="paragraph" w:customStyle="1" w:styleId="115">
    <w:name w:val="Char"/>
    <w:basedOn w:val="1"/>
    <w:qFormat/>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qFormat/>
    <w:uiPriority w:val="0"/>
    <w:pPr>
      <w:widowControl/>
    </w:pPr>
    <w:rPr>
      <w:kern w:val="0"/>
      <w:szCs w:val="21"/>
    </w:rPr>
  </w:style>
  <w:style w:type="character" w:customStyle="1" w:styleId="118">
    <w:name w:val="正文缩进 Char1"/>
    <w:link w:val="15"/>
    <w:qFormat/>
    <w:uiPriority w:val="0"/>
    <w:rPr>
      <w:rFonts w:ascii="Calibri" w:hAnsi="Calibri" w:eastAsia="宋体" w:cs="Plotter"/>
      <w:sz w:val="24"/>
      <w:szCs w:val="24"/>
    </w:rPr>
  </w:style>
  <w:style w:type="paragraph" w:customStyle="1" w:styleId="119">
    <w:name w:val="p15"/>
    <w:basedOn w:val="1"/>
    <w:qFormat/>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qFormat/>
    <w:uiPriority w:val="0"/>
    <w:rPr>
      <w:rFonts w:ascii="Tahoma" w:hAnsi="Tahoma"/>
      <w:sz w:val="24"/>
    </w:rPr>
  </w:style>
  <w:style w:type="character" w:customStyle="1" w:styleId="121">
    <w:name w:val="标题 1 Char1"/>
    <w:qFormat/>
    <w:uiPriority w:val="0"/>
    <w:rPr>
      <w:b/>
      <w:bCs/>
      <w:kern w:val="44"/>
      <w:sz w:val="44"/>
      <w:szCs w:val="44"/>
    </w:rPr>
  </w:style>
  <w:style w:type="character" w:customStyle="1" w:styleId="122">
    <w:name w:val="正文文本 Char1"/>
    <w:qFormat/>
    <w:uiPriority w:val="0"/>
    <w:rPr>
      <w:kern w:val="2"/>
      <w:sz w:val="21"/>
      <w:szCs w:val="24"/>
    </w:rPr>
  </w:style>
  <w:style w:type="character" w:customStyle="1" w:styleId="123">
    <w:name w:val="副标题 Char"/>
    <w:basedOn w:val="60"/>
    <w:link w:val="43"/>
    <w:qFormat/>
    <w:uiPriority w:val="0"/>
    <w:rPr>
      <w:rFonts w:ascii="Arial" w:hAnsi="Arial" w:eastAsia="宋体" w:cs="Arial"/>
      <w:b/>
      <w:bCs/>
      <w:kern w:val="28"/>
      <w:sz w:val="32"/>
      <w:szCs w:val="32"/>
    </w:rPr>
  </w:style>
  <w:style w:type="character" w:customStyle="1" w:styleId="124">
    <w:name w:val="普通文字1 Char1"/>
    <w:qFormat/>
    <w:uiPriority w:val="0"/>
    <w:rPr>
      <w:rFonts w:ascii="宋体" w:hAnsi="Courier New" w:cs="Courier New"/>
      <w:kern w:val="2"/>
      <w:sz w:val="21"/>
      <w:szCs w:val="21"/>
    </w:rPr>
  </w:style>
  <w:style w:type="character" w:customStyle="1" w:styleId="125">
    <w:name w:val="批注主题 Char"/>
    <w:basedOn w:val="113"/>
    <w:link w:val="56"/>
    <w:qFormat/>
    <w:uiPriority w:val="0"/>
    <w:rPr>
      <w:rFonts w:ascii="Times New Roman" w:hAnsi="Times New Roman" w:eastAsia="宋体" w:cs="Times New Roman"/>
      <w:b/>
      <w:bCs/>
      <w:kern w:val="0"/>
      <w:sz w:val="24"/>
      <w:szCs w:val="20"/>
    </w:rPr>
  </w:style>
  <w:style w:type="paragraph" w:customStyle="1" w:styleId="126">
    <w:name w:val="TOC Heading"/>
    <w:basedOn w:val="2"/>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qFormat/>
    <w:locked/>
    <w:uiPriority w:val="0"/>
    <w:rPr>
      <w:sz w:val="24"/>
      <w:szCs w:val="24"/>
    </w:rPr>
  </w:style>
  <w:style w:type="paragraph" w:customStyle="1" w:styleId="128">
    <w:name w:val="文档"/>
    <w:basedOn w:val="1"/>
    <w:link w:val="127"/>
    <w:qFormat/>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qFormat/>
    <w:uiPriority w:val="0"/>
    <w:pPr>
      <w:spacing w:afterLines="0"/>
      <w:ind w:firstLine="0" w:firstLineChars="0"/>
      <w:jc w:val="center"/>
    </w:pPr>
    <w:rPr>
      <w:sz w:val="21"/>
    </w:rPr>
  </w:style>
  <w:style w:type="paragraph" w:customStyle="1" w:styleId="130">
    <w:name w:val="Char Char Char Char Char Char"/>
    <w:basedOn w:val="1"/>
    <w:qFormat/>
    <w:uiPriority w:val="0"/>
    <w:pPr>
      <w:widowControl/>
      <w:spacing w:after="160" w:line="240" w:lineRule="exact"/>
      <w:jc w:val="left"/>
    </w:pPr>
    <w:rPr>
      <w:kern w:val="0"/>
      <w:sz w:val="24"/>
    </w:rPr>
  </w:style>
  <w:style w:type="character" w:customStyle="1" w:styleId="131">
    <w:name w:val="末级 Char Char"/>
    <w:link w:val="132"/>
    <w:qFormat/>
    <w:locked/>
    <w:uiPriority w:val="0"/>
    <w:rPr>
      <w:sz w:val="24"/>
      <w:szCs w:val="24"/>
    </w:rPr>
  </w:style>
  <w:style w:type="paragraph" w:customStyle="1" w:styleId="132">
    <w:name w:val="末级"/>
    <w:basedOn w:val="1"/>
    <w:link w:val="131"/>
    <w:qFormat/>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qFormat/>
    <w:uiPriority w:val="0"/>
    <w:rPr>
      <w:szCs w:val="24"/>
    </w:rPr>
  </w:style>
  <w:style w:type="paragraph" w:customStyle="1" w:styleId="135">
    <w:name w:val="样式 标题 3列表编号31.1.1 + 四号 加粗 行距: 1.5 倍行距"/>
    <w:basedOn w:val="4"/>
    <w:qFormat/>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5"/>
    <w:qFormat/>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qFormat/>
    <w:uiPriority w:val="0"/>
    <w:pPr>
      <w:widowControl/>
      <w:snapToGrid w:val="0"/>
      <w:spacing w:before="60" w:after="60"/>
      <w:jc w:val="left"/>
    </w:pPr>
    <w:rPr>
      <w:rFonts w:ascii="宋体"/>
      <w:sz w:val="20"/>
    </w:rPr>
  </w:style>
  <w:style w:type="paragraph" w:customStyle="1" w:styleId="138">
    <w:name w:val="flNote"/>
    <w:basedOn w:val="1"/>
    <w:qFormat/>
    <w:uiPriority w:val="0"/>
    <w:pPr>
      <w:adjustRightInd w:val="0"/>
      <w:spacing w:before="567" w:line="360" w:lineRule="atLeast"/>
      <w:jc w:val="center"/>
    </w:pPr>
    <w:rPr>
      <w:rFonts w:eastAsia="黑体"/>
      <w:b/>
      <w:kern w:val="0"/>
      <w:sz w:val="24"/>
    </w:rPr>
  </w:style>
  <w:style w:type="paragraph" w:customStyle="1" w:styleId="139">
    <w:name w:val="表格文字"/>
    <w:basedOn w:val="1"/>
    <w:qFormat/>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41">
    <w:name w:val="通用"/>
    <w:basedOn w:val="1"/>
    <w:qFormat/>
    <w:uiPriority w:val="0"/>
    <w:pPr>
      <w:spacing w:line="360" w:lineRule="auto"/>
      <w:ind w:left="42"/>
    </w:pPr>
    <w:rPr>
      <w:rFonts w:ascii="宋体"/>
      <w:b/>
      <w:sz w:val="24"/>
    </w:rPr>
  </w:style>
  <w:style w:type="paragraph" w:customStyle="1" w:styleId="142">
    <w:name w:val="Char Char18"/>
    <w:basedOn w:val="1"/>
    <w:qFormat/>
    <w:uiPriority w:val="0"/>
    <w:pPr>
      <w:widowControl/>
      <w:spacing w:after="160" w:line="240" w:lineRule="exact"/>
      <w:jc w:val="left"/>
    </w:pPr>
    <w:rPr>
      <w:kern w:val="0"/>
      <w:sz w:val="24"/>
    </w:rPr>
  </w:style>
  <w:style w:type="paragraph" w:customStyle="1" w:styleId="14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qFormat/>
    <w:uiPriority w:val="0"/>
    <w:pPr>
      <w:tabs>
        <w:tab w:val="left" w:pos="3300"/>
      </w:tabs>
      <w:ind w:left="3300" w:hanging="420"/>
    </w:pPr>
    <w:rPr>
      <w:rFonts w:ascii="黑体" w:hAnsi="Arial" w:eastAsia="黑体"/>
      <w:szCs w:val="24"/>
    </w:rPr>
  </w:style>
  <w:style w:type="paragraph" w:customStyle="1" w:styleId="145">
    <w:name w:val="Char Char Char Char Char Char Char"/>
    <w:basedOn w:val="1"/>
    <w:qFormat/>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qFormat/>
    <w:uiPriority w:val="0"/>
    <w:pPr>
      <w:spacing w:afterLines="100"/>
      <w:ind w:left="838" w:hanging="838" w:hangingChars="262"/>
    </w:pPr>
    <w:rPr>
      <w:rFonts w:ascii="宋体"/>
      <w:b/>
      <w:color w:val="000000"/>
      <w:sz w:val="32"/>
    </w:rPr>
  </w:style>
  <w:style w:type="paragraph" w:customStyle="1" w:styleId="147">
    <w:name w:val="standdate"/>
    <w:basedOn w:val="37"/>
    <w:qFormat/>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qFormat/>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3"/>
    <w:qFormat/>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qFormat/>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qFormat/>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qFormat/>
    <w:uiPriority w:val="0"/>
    <w:rPr>
      <w:rFonts w:ascii="Tahoma" w:hAnsi="Tahoma"/>
      <w:sz w:val="24"/>
    </w:rPr>
  </w:style>
  <w:style w:type="paragraph" w:customStyle="1" w:styleId="155">
    <w:name w:val="默认段落字体 Para Char"/>
    <w:basedOn w:val="1"/>
    <w:next w:val="1"/>
    <w:qFormat/>
    <w:uiPriority w:val="0"/>
    <w:rPr>
      <w:szCs w:val="24"/>
    </w:rPr>
  </w:style>
  <w:style w:type="paragraph" w:customStyle="1" w:styleId="156">
    <w:name w:val="合同书"/>
    <w:basedOn w:val="1"/>
    <w:qFormat/>
    <w:uiPriority w:val="0"/>
    <w:pPr>
      <w:jc w:val="center"/>
    </w:pPr>
    <w:rPr>
      <w:rFonts w:ascii="宋体"/>
      <w:b/>
      <w:sz w:val="36"/>
    </w:rPr>
  </w:style>
  <w:style w:type="paragraph" w:customStyle="1" w:styleId="157">
    <w:name w:val="Char Char Char Char"/>
    <w:basedOn w:val="1"/>
    <w:qFormat/>
    <w:uiPriority w:val="0"/>
    <w:rPr>
      <w:sz w:val="30"/>
      <w:szCs w:val="24"/>
    </w:rPr>
  </w:style>
  <w:style w:type="paragraph" w:customStyle="1" w:styleId="158">
    <w:name w:val="大标题"/>
    <w:qFormat/>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qFormat/>
    <w:uiPriority w:val="0"/>
    <w:rPr>
      <w:rFonts w:ascii="仿宋_GB2312" w:eastAsia="仿宋_GB2312"/>
      <w:b/>
      <w:sz w:val="32"/>
      <w:szCs w:val="32"/>
    </w:rPr>
  </w:style>
  <w:style w:type="paragraph" w:customStyle="1" w:styleId="160">
    <w:name w:val="样式12"/>
    <w:basedOn w:val="1"/>
    <w:qFormat/>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qFormat/>
    <w:locked/>
    <w:uiPriority w:val="0"/>
    <w:rPr>
      <w:rFonts w:eastAsia="Times New Roman"/>
      <w:sz w:val="24"/>
    </w:rPr>
  </w:style>
  <w:style w:type="paragraph" w:customStyle="1" w:styleId="162">
    <w:name w:val="正文段落 m14"/>
    <w:link w:val="161"/>
    <w:qFormat/>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qFormat/>
    <w:locked/>
    <w:uiPriority w:val="0"/>
    <w:rPr>
      <w:sz w:val="24"/>
    </w:rPr>
  </w:style>
  <w:style w:type="paragraph" w:customStyle="1" w:styleId="164">
    <w:name w:val="样式 首行缩进:  2 字符"/>
    <w:basedOn w:val="1"/>
    <w:link w:val="163"/>
    <w:qFormat/>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qFormat/>
    <w:uiPriority w:val="0"/>
    <w:pPr>
      <w:spacing w:beforeLines="50" w:afterLines="50"/>
    </w:pPr>
    <w:rPr>
      <w:szCs w:val="24"/>
    </w:rPr>
  </w:style>
  <w:style w:type="paragraph" w:customStyle="1" w:styleId="166">
    <w:name w:val="样式 样式 标题 4 + (符号) 宋体 行距: 固定值 22 磅 + 黑色"/>
    <w:basedOn w:val="1"/>
    <w:qFormat/>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qFormat/>
    <w:uiPriority w:val="0"/>
    <w:pPr>
      <w:ind w:firstLine="360" w:firstLineChars="150"/>
    </w:pPr>
  </w:style>
  <w:style w:type="paragraph" w:customStyle="1" w:styleId="168">
    <w:name w:val="样式 标题 3标题 3 Char Char标题 3 Char Char Char Char + 黑体 段前: 12 磅 ..."/>
    <w:basedOn w:val="4"/>
    <w:qFormat/>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qFormat/>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qFormat/>
    <w:uiPriority w:val="0"/>
    <w:pPr>
      <w:ind w:firstLine="360" w:firstLineChars="150"/>
    </w:pPr>
    <w:rPr>
      <w:rFonts w:ascii="Tahoma" w:hAnsi="Tahoma"/>
      <w:sz w:val="24"/>
    </w:rPr>
  </w:style>
  <w:style w:type="paragraph" w:customStyle="1" w:styleId="171">
    <w:name w:val="Char Char Char1 Char Char Char"/>
    <w:basedOn w:val="1"/>
    <w:qFormat/>
    <w:uiPriority w:val="0"/>
  </w:style>
  <w:style w:type="paragraph" w:customStyle="1" w:styleId="172">
    <w:name w:val="格式2"/>
    <w:basedOn w:val="3"/>
    <w:qFormat/>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qFormat/>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qFormat/>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qFormat/>
    <w:uiPriority w:val="0"/>
    <w:pPr>
      <w:spacing w:line="480" w:lineRule="exact"/>
      <w:ind w:firstLine="480" w:firstLineChars="200"/>
    </w:pPr>
    <w:rPr>
      <w:rFonts w:hAnsi="宋体"/>
      <w:sz w:val="24"/>
      <w:szCs w:val="24"/>
    </w:rPr>
  </w:style>
  <w:style w:type="paragraph" w:customStyle="1" w:styleId="176">
    <w:name w:val="样式15"/>
    <w:basedOn w:val="1"/>
    <w:qFormat/>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qFormat/>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80">
    <w:name w:val="Char Char1"/>
    <w:qFormat/>
    <w:uiPriority w:val="0"/>
    <w:rPr>
      <w:rFonts w:hint="eastAsia" w:ascii="宋体" w:hAnsi="宋体" w:eastAsia="宋体"/>
      <w:sz w:val="24"/>
      <w:u w:val="single"/>
      <w:lang w:val="en-US" w:eastAsia="zh-CN" w:bidi="ar-SA"/>
    </w:rPr>
  </w:style>
  <w:style w:type="character" w:customStyle="1" w:styleId="181">
    <w:name w:val="标题 Char1"/>
    <w:qFormat/>
    <w:uiPriority w:val="0"/>
    <w:rPr>
      <w:rFonts w:hint="default" w:ascii="Cambria" w:hAnsi="Cambria" w:cs="Times New Roman"/>
      <w:b/>
      <w:bCs/>
      <w:kern w:val="2"/>
      <w:sz w:val="32"/>
      <w:szCs w:val="32"/>
    </w:rPr>
  </w:style>
  <w:style w:type="character" w:customStyle="1" w:styleId="182">
    <w:name w:val="Char2"/>
    <w:qFormat/>
    <w:uiPriority w:val="0"/>
    <w:rPr>
      <w:rFonts w:hint="eastAsia" w:ascii="黑体" w:hAnsi="Arial" w:eastAsia="黑体" w:cs="Arial"/>
      <w:bCs/>
      <w:kern w:val="2"/>
      <w:sz w:val="32"/>
      <w:szCs w:val="32"/>
      <w:lang w:val="en-US" w:eastAsia="zh-CN" w:bidi="ar-SA"/>
    </w:rPr>
  </w:style>
  <w:style w:type="paragraph" w:customStyle="1" w:styleId="183">
    <w:name w:val="flName"/>
    <w:basedOn w:val="138"/>
    <w:qFormat/>
    <w:uiPriority w:val="0"/>
    <w:pPr>
      <w:spacing w:before="0" w:line="113" w:lineRule="atLeast"/>
    </w:pPr>
  </w:style>
  <w:style w:type="paragraph" w:customStyle="1" w:styleId="184">
    <w:name w:val="flType"/>
    <w:basedOn w:val="183"/>
    <w:qFormat/>
    <w:uiPriority w:val="0"/>
    <w:pPr>
      <w:spacing w:after="284"/>
    </w:pPr>
    <w:rPr>
      <w:rFonts w:eastAsia="宋体"/>
      <w:b w:val="0"/>
    </w:rPr>
  </w:style>
  <w:style w:type="paragraph" w:customStyle="1" w:styleId="185">
    <w:name w:val="kd"/>
    <w:basedOn w:val="148"/>
    <w:qFormat/>
    <w:uiPriority w:val="0"/>
    <w:pPr>
      <w:ind w:left="720" w:hanging="720"/>
    </w:pPr>
    <w:rPr>
      <w:sz w:val="28"/>
    </w:rPr>
  </w:style>
  <w:style w:type="paragraph" w:customStyle="1" w:styleId="186">
    <w:name w:val="Body text 1"/>
    <w:basedOn w:val="133"/>
    <w:qFormat/>
    <w:uiPriority w:val="0"/>
    <w:pPr>
      <w:tabs>
        <w:tab w:val="left" w:pos="1134"/>
      </w:tabs>
      <w:ind w:hanging="1134"/>
    </w:pPr>
  </w:style>
  <w:style w:type="paragraph" w:customStyle="1" w:styleId="187">
    <w:name w:val="_Style 8"/>
    <w:basedOn w:val="1"/>
    <w:qFormat/>
    <w:uiPriority w:val="0"/>
  </w:style>
  <w:style w:type="character" w:customStyle="1" w:styleId="188">
    <w:name w:val="Date Char"/>
    <w:qFormat/>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qFormat/>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qFormat/>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qFormat/>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qFormat/>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qFormat/>
    <w:uiPriority w:val="0"/>
    <w:rPr>
      <w:rFonts w:ascii="Helvetica" w:hAnsi="Helvetica" w:eastAsia="宋体" w:cs="Arial Unicode MS"/>
      <w:color w:val="000000"/>
      <w:kern w:val="0"/>
      <w:sz w:val="22"/>
      <w:szCs w:val="22"/>
      <w:lang w:val="zh-CN" w:eastAsia="zh-CN" w:bidi="ar-SA"/>
    </w:rPr>
  </w:style>
  <w:style w:type="paragraph" w:customStyle="1" w:styleId="208">
    <w:name w:val="列出段落6"/>
    <w:qFormat/>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qFormat/>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qFormat/>
    <w:uiPriority w:val="0"/>
    <w:rPr>
      <w:rFonts w:hint="default" w:ascii="Times New Roman" w:hAnsi="Times New Roman" w:cs="Times New Roman"/>
      <w:color w:val="000000"/>
      <w:sz w:val="22"/>
      <w:szCs w:val="22"/>
      <w:u w:val="none"/>
    </w:rPr>
  </w:style>
  <w:style w:type="character" w:customStyle="1" w:styleId="217">
    <w:name w:val="font71"/>
    <w:qFormat/>
    <w:uiPriority w:val="0"/>
    <w:rPr>
      <w:rFonts w:hint="eastAsia" w:ascii="宋体" w:hAnsi="宋体" w:eastAsia="宋体" w:cs="宋体"/>
      <w:color w:val="000000"/>
      <w:sz w:val="21"/>
      <w:szCs w:val="21"/>
      <w:u w:val="none"/>
    </w:rPr>
  </w:style>
  <w:style w:type="character" w:customStyle="1" w:styleId="218">
    <w:name w:val="font61"/>
    <w:qFormat/>
    <w:uiPriority w:val="0"/>
    <w:rPr>
      <w:rFonts w:hint="eastAsia" w:ascii="宋体" w:hAnsi="宋体" w:eastAsia="宋体" w:cs="宋体"/>
      <w:color w:val="000000"/>
      <w:sz w:val="22"/>
      <w:szCs w:val="22"/>
      <w:u w:val="none"/>
    </w:rPr>
  </w:style>
  <w:style w:type="paragraph" w:customStyle="1" w:styleId="219">
    <w:name w:val="图1"/>
    <w:basedOn w:val="1"/>
    <w:next w:val="1"/>
    <w:qFormat/>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qFormat/>
    <w:uiPriority w:val="0"/>
    <w:pPr>
      <w:widowControl/>
      <w:spacing w:after="160" w:line="240" w:lineRule="exact"/>
      <w:jc w:val="left"/>
    </w:pPr>
    <w:rPr>
      <w:kern w:val="0"/>
      <w:sz w:val="24"/>
      <w:szCs w:val="24"/>
    </w:rPr>
  </w:style>
  <w:style w:type="paragraph" w:customStyle="1" w:styleId="222">
    <w:name w:val="Default Paragraph Char Char Char Char"/>
    <w:basedOn w:val="1"/>
    <w:next w:val="1"/>
    <w:qFormat/>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qFormat/>
    <w:uiPriority w:val="0"/>
    <w:rPr>
      <w:rFonts w:ascii="Tahoma" w:hAnsi="Tahoma"/>
      <w:sz w:val="24"/>
      <w:szCs w:val="24"/>
    </w:rPr>
  </w:style>
  <w:style w:type="paragraph" w:customStyle="1" w:styleId="224">
    <w:name w:val="样式 宋体 五号 行距: 单倍行距"/>
    <w:basedOn w:val="1"/>
    <w:qFormat/>
    <w:uiPriority w:val="0"/>
    <w:pPr>
      <w:adjustRightInd w:val="0"/>
      <w:jc w:val="left"/>
      <w:textAlignment w:val="baseline"/>
    </w:pPr>
    <w:rPr>
      <w:rFonts w:ascii="宋体" w:hAnsi="宋体"/>
      <w:kern w:val="0"/>
    </w:rPr>
  </w:style>
  <w:style w:type="paragraph" w:customStyle="1" w:styleId="225">
    <w:name w:val="Char3"/>
    <w:basedOn w:val="1"/>
    <w:qFormat/>
    <w:uiPriority w:val="0"/>
    <w:rPr>
      <w:rFonts w:ascii="Tahoma" w:hAnsi="Tahoma"/>
      <w:sz w:val="24"/>
    </w:rPr>
  </w:style>
  <w:style w:type="paragraph" w:customStyle="1" w:styleId="226">
    <w:name w:val="正文无缩进"/>
    <w:basedOn w:val="1"/>
    <w:qFormat/>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qFormat/>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72</Characters>
  <Lines>1</Lines>
  <Paragraphs>1</Paragraphs>
  <TotalTime>0</TotalTime>
  <ScaleCrop>false</ScaleCrop>
  <LinksUpToDate>false</LinksUpToDate>
  <CharactersWithSpaces>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2021-12-08T02:05:53Z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47C1DD818F60461B8FE66E6D3B644B96</vt:lpwstr>
  </property>
</Properties>
</file>