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服务需求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（仅供参考）</w:t>
      </w:r>
    </w:p>
    <w:p>
      <w:pPr>
        <w:spacing w:line="360" w:lineRule="auto"/>
        <w:ind w:firstLine="437"/>
        <w:rPr>
          <w:rFonts w:hint="eastAsia" w:ascii="宋体" w:hAnsi="宋体" w:eastAsia="宋体" w:cs="宋体"/>
          <w:b/>
          <w:sz w:val="24"/>
          <w:szCs w:val="18"/>
        </w:rPr>
      </w:pPr>
      <w:r>
        <w:rPr>
          <w:rFonts w:hint="eastAsia" w:ascii="宋体" w:hAnsi="宋体" w:eastAsia="宋体" w:cs="宋体"/>
          <w:b/>
          <w:sz w:val="24"/>
          <w:szCs w:val="18"/>
        </w:rPr>
        <w:t>一、采购需求前附表</w:t>
      </w:r>
    </w:p>
    <w:tbl>
      <w:tblPr>
        <w:tblStyle w:val="1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45"/>
        <w:gridCol w:w="5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2" w:type="pct"/>
            <w:vAlign w:val="center"/>
          </w:tcPr>
          <w:p>
            <w:pPr>
              <w:pStyle w:val="4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序号</w:t>
            </w:r>
          </w:p>
        </w:tc>
        <w:tc>
          <w:tcPr>
            <w:tcW w:w="1083" w:type="pct"/>
            <w:vAlign w:val="center"/>
          </w:tcPr>
          <w:p>
            <w:pPr>
              <w:pStyle w:val="42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</w:rPr>
              <w:t>条款名称</w:t>
            </w:r>
          </w:p>
        </w:tc>
        <w:tc>
          <w:tcPr>
            <w:tcW w:w="3434" w:type="pct"/>
            <w:vAlign w:val="center"/>
          </w:tcPr>
          <w:p>
            <w:pPr>
              <w:pStyle w:val="42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2" w:type="pct"/>
            <w:vAlign w:val="center"/>
          </w:tcPr>
          <w:p>
            <w:pPr>
              <w:pStyle w:val="4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1</w:t>
            </w:r>
          </w:p>
        </w:tc>
        <w:tc>
          <w:tcPr>
            <w:tcW w:w="1083" w:type="pct"/>
            <w:vAlign w:val="center"/>
          </w:tcPr>
          <w:p>
            <w:pPr>
              <w:pStyle w:val="42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付款方式</w:t>
            </w:r>
          </w:p>
        </w:tc>
        <w:tc>
          <w:tcPr>
            <w:tcW w:w="3434" w:type="pct"/>
            <w:vAlign w:val="center"/>
          </w:tcPr>
          <w:p>
            <w:pPr>
              <w:pStyle w:val="42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0"/>
                <w:lang w:val="en-US" w:eastAsia="zh-CN"/>
              </w:rPr>
              <w:t>维保开始后，每半年考核一次，考核合格后支付合同金额的50%。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2" w:type="pct"/>
            <w:vAlign w:val="center"/>
          </w:tcPr>
          <w:p>
            <w:pPr>
              <w:pStyle w:val="4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</w:t>
            </w:r>
          </w:p>
        </w:tc>
        <w:tc>
          <w:tcPr>
            <w:tcW w:w="1083" w:type="pct"/>
            <w:vAlign w:val="center"/>
          </w:tcPr>
          <w:p>
            <w:pPr>
              <w:pStyle w:val="42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服务地点</w:t>
            </w:r>
          </w:p>
        </w:tc>
        <w:tc>
          <w:tcPr>
            <w:tcW w:w="3434" w:type="pct"/>
            <w:vAlign w:val="center"/>
          </w:tcPr>
          <w:p>
            <w:pPr>
              <w:pStyle w:val="4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0"/>
                <w:lang w:val="en-US" w:eastAsia="zh-CN"/>
              </w:rPr>
              <w:t>安徽省妇幼保健院西院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0"/>
              </w:rPr>
              <w:t>，采购人指定地点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2" w:type="pct"/>
            <w:vAlign w:val="center"/>
          </w:tcPr>
          <w:p>
            <w:pPr>
              <w:pStyle w:val="4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3</w:t>
            </w:r>
          </w:p>
        </w:tc>
        <w:tc>
          <w:tcPr>
            <w:tcW w:w="1083" w:type="pct"/>
            <w:vAlign w:val="center"/>
          </w:tcPr>
          <w:p>
            <w:pPr>
              <w:pStyle w:val="42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服务期限</w:t>
            </w:r>
          </w:p>
        </w:tc>
        <w:tc>
          <w:tcPr>
            <w:tcW w:w="3434" w:type="pct"/>
            <w:vAlign w:val="center"/>
          </w:tcPr>
          <w:p>
            <w:pPr>
              <w:pStyle w:val="4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0"/>
                <w:lang w:val="zh-CN"/>
              </w:rPr>
              <w:t>合同签订后1年。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0"/>
              </w:rPr>
              <w:t>合同期满，成交供应商服务质量达到合同约定标准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0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0"/>
              </w:rPr>
              <w:t>经采购人考核合格，且预算资金到位的情况下，经合同双方同意，可续签合同，合同一年一签，最多续签两年，续签合同金额不变。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2" w:type="pct"/>
            <w:vAlign w:val="center"/>
          </w:tcPr>
          <w:p>
            <w:pPr>
              <w:pStyle w:val="4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4</w:t>
            </w:r>
          </w:p>
        </w:tc>
        <w:tc>
          <w:tcPr>
            <w:tcW w:w="1083" w:type="pct"/>
            <w:vAlign w:val="center"/>
          </w:tcPr>
          <w:p>
            <w:pPr>
              <w:pStyle w:val="42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本项目采购标的所属行业</w:t>
            </w:r>
          </w:p>
        </w:tc>
        <w:tc>
          <w:tcPr>
            <w:tcW w:w="3434" w:type="pct"/>
            <w:vAlign w:val="center"/>
          </w:tcPr>
          <w:p>
            <w:pPr>
              <w:pStyle w:val="42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其他未列明行业</w:t>
            </w:r>
          </w:p>
        </w:tc>
      </w:tr>
    </w:tbl>
    <w:p>
      <w:pPr>
        <w:spacing w:line="360" w:lineRule="auto"/>
        <w:ind w:firstLine="437"/>
        <w:rPr>
          <w:rFonts w:hint="eastAsia" w:ascii="宋体" w:hAnsi="宋体" w:eastAsia="宋体" w:cs="宋体"/>
          <w:b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18"/>
        </w:rPr>
        <w:t>二、</w:t>
      </w:r>
      <w:r>
        <w:rPr>
          <w:rFonts w:hint="eastAsia" w:ascii="宋体" w:hAnsi="宋体" w:eastAsia="宋体" w:cs="宋体"/>
          <w:b/>
          <w:sz w:val="24"/>
          <w:szCs w:val="18"/>
          <w:lang w:val="en-US" w:eastAsia="zh-CN"/>
        </w:rPr>
        <w:t>现有消防设施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@仿宋_GB2312" w:hAnsi="@仿宋_GB2312" w:eastAsia="@仿宋_GB2312" w:cs="@仿宋_GB2312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安徽省妇幼保健院西院</w:t>
      </w:r>
      <w:r>
        <w:rPr>
          <w:rFonts w:hint="eastAsia" w:ascii="宋体" w:hAnsi="宋体" w:eastAsia="宋体" w:cs="宋体"/>
          <w:sz w:val="24"/>
          <w:highlight w:val="none"/>
        </w:rPr>
        <w:t>设有火灾自动报警系统、火灾报警系统、应急照明及疏散指示标志、消火栓系统、防排烟系统、防火门监控、防火卷帘、自动喷水灭火系统等。</w:t>
      </w:r>
    </w:p>
    <w:tbl>
      <w:tblPr>
        <w:tblStyle w:val="16"/>
        <w:tblpPr w:leftFromText="180" w:rightFromText="180" w:vertAnchor="text" w:horzAnchor="margin" w:tblpXSpec="center" w:tblpY="357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68"/>
        <w:gridCol w:w="2100"/>
        <w:gridCol w:w="3054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现有设备品牌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规格型号及技术参数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电气火灾监控系统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依爱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EI-DB8700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火灾自动报警消防联动系统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依爱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JB-TGL-EI6000G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自动喷水灭火系统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泉州西联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K-ZSTX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消火栓/消防卷盘灭火系统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合肥向阳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1800*700*160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南京洪湖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ABC5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气体灭火系统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北京利达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QMP70/4.2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机械防排烟系统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德州亚太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YTPY-S-8S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防火分隔系统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合肥金顺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TFJ（W）-300300-TF3-Cz-S-350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应急照明及疏散指示系统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江门劳士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L-BLZD-1LROE/5WDBO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消防广播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依爱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XD5-6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消防泵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上海凯泉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XBD14/40-150DN Q=40L/s,H=140m,N=90Kw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喷淋泵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上海凯泉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XBD12/40-QL Q=40L/s,H=120m,N=90Kw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消防稳压泵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上海凯泉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KQDP32-5*18-2BZ Q=1.33L/s,H=95m,N=4Kw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喷淋稳压泵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上海凯泉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KQDP32-5*18-2BZ Q=1.33L/s,H=95m,N=4Kw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消防泵电源柜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上海凯泉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KQK-002PGX-90KW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消防泵控制柜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上海凯泉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KQK/G-2ACN-3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喷淋泵电源柜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上海凯泉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KQK-002PGX-75KW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喷淋泵控制柜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上海凯泉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KQK/G-2ACN-3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巡检柜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上海凯泉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KQK/T-2D3-400/4PC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开关柜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伊顿电气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C1B1AA12/630M/3300（主）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C1B4AA10/630M/3300（备）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C1B3AA13/630M/3300（主）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C1B4AA11/630M/3300（备）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消防排污泵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施耐德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GS263-D20/30mA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各类标示标牌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各类标识标牌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@仿宋_GB2312" w:hAnsi="@仿宋_GB2312" w:eastAsia="@仿宋_GB2312" w:cs="@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标准型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消防水池、水箱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消防水池、水箱</w:t>
            </w:r>
          </w:p>
        </w:tc>
        <w:tc>
          <w:tcPr>
            <w:tcW w:w="3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870/50m³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2/1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微型消防站设备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微型消防站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eastAsia" w:ascii="@仿宋_GB2312" w:hAnsi="@仿宋_GB2312" w:eastAsia="@仿宋_GB2312" w:cs="@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标准型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437"/>
        <w:rPr>
          <w:rFonts w:hint="eastAsia" w:ascii="宋体" w:hAnsi="宋体" w:eastAsia="宋体" w:cs="宋体"/>
          <w:b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18"/>
          <w:lang w:val="en-US" w:eastAsia="zh-CN"/>
        </w:rPr>
        <w:t>三、工作质量及要求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保养要求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1、成交供应商在消防维保期内至少委派1名维保服务人员,提供5*8小时驻点服务，驻点维保人员需具备中级及以上消防设施操作员证书；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2、在有重大活动时成交供应商应积极配合采购人做好现场保障工作，随时提供技术指导与服务。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18"/>
        </w:rPr>
        <w:t>注：除评分标准中要求提供的相关人员证明材料作为评分条件外，供应商在响应文件中无须提供人员其他相关证明材料，由采购人在合同签订后成交供应商进场服务前核查人员配备情况，人员须按照要求配备到位，否则采购人有权解除合同并报监管部门按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3、维保期内对到期的灭火器重新检测灌装，确保有效，费用报采购人审批后按季度支付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不包含在本次报价内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4、严格贯彻执行维保行业质量标准，维护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利益。严格按照消防维护操作规程和作业规范，精心维护、保养采购人的消防系统，并且诚心接受采购人及采购人委派的专业人员的检查。维保质量须达到国家有关质量检查评定标准。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5、维保期内所需更换的材料费用由采购人提供，供应商免费提供人工进行更换。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6、配件要求为原厂配件,更换设备零部件的品牌与采购人现场安装的零部件品牌一致。若需更换的品牌停产，出现市场断货，替代产品应与原产品同一档次且须经采购人确认。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7、每周一次例行检查，确保消防设施设备正常运行，并出具检查报告由采购人负责部门签字确认。检查不及时或检查不到位，一次罚款500元。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8、在冬季，尤其是极寒低温天气，要提前对消防系统和设施设备进行全面检查、集中保养，做好防护措施，确保所有的设施设备都能顺利地工作。如因检查防护不到位，造成的所有损失由成交供应商负责。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9、成交供应商在维保过程中，严格遵守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各项规章制度和安全管理规范，并郑重承诺本单位从事维保的人员在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的行为均由成交供应商承担相应的法律责任。凡维保人员因任何违反安全操作规程所造成的事故，均由成交供应商承担责任。合同签订后，成交供应商首先对维修保养的建筑消防设备进行一次全面检查，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将系统全部移交予成交供应商，自合同签订之日起，由成交供应商负责维护、保养及损坏设施的更换。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提供24小时的随传随到的紧急维修服务，接到采购人设备故障抢修的通知后，立即做好故障抢修的一切准备工作，2小时内派有经验的工程师到采购人指定的故障现场进行维修，并保证在24小时内修复故障（设备本身损坏原因除外），遇有特殊情况不能按时修复的，成交供应商应立即向采购人报告故障原因和存在的困难。如由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</w:rPr>
        <w:t>工作延误导致人身、财产损失，由维保方承担全部责任。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11、消防自动报警系统在运行期间如出现故障，成交供应商在接到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通知后，必须在1个小时内进行故障排除。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12、免费为采购人操作人员提供以上消防的相关技术咨询与培训，确保其能正常操作及使用相关消防设施设备。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火灾自动报警及消防联动系统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周对火灾自动报警控制器自检功能、消音复位功能、故障报警功能、火灾优先功能、楼层显示功能、联动控制器功能、报警记忆功能、火灾广播功能、打印功能和主备电源自动转化功能进行检查，保证处于正常良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（2）每周按安装总量的30%采用专用检测设备对火灾探测器、手动报警器按钮、警铃、声光报警器进行模拟火灾响应实验和故障报警实验。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（3）每周进行报警及控制线路维修检查；每季度对消防系统进行一次全面检查；对烟感探测器进行吹烟模拟实验，抽检率不得低于50%。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（4）每周对联动控制设备进行手动和自动试验，保证控制器应有控制和显示功能，打印、显示部位编号应一致。备泵切换功能实验。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（5）每周检查试验湿式报警阀、水力警铃动作是否灵敏，喷淋泵是否启动，消防中心显示是否准确。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（6）每周定期对消防栓系统管网进行全面检查，对腐蚀严重的管道予与更换，对油漆脱落的管道及时除锈刷防锈漆和标志漆。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（7）每月实验测试消防控制联动功能，检查信号反馈是否正常。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消火栓灭火系统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（1）每周对消防泵房的工作环境、消防泵、电源控制柜、管网、阀门、喷淋头、水泵接合器、储水设备等进行检查，保证其处于完好状态。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（2）每周检查室内消火栓、灭火器、消防水带、水枪等是否完好；每月对屋顶消火栓或最不利点消火栓进行出水试验和压力检测。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（3）每周按安装总量的 30%对消火栓远程启动按钮进行启泵抽查试验，检查自动启泵功能和信号显示是否正常；每月模拟自动控制条件下进行自动启动消防泵和主、备泵切换试验。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（4）每周对室外消火栓系统进行放水试验，保持消防水源的清洁。对不能使用或损坏的阀门进行维修、更换。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气体灭火系统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（1）每周检查储气瓶间及防护区工作环境、储气瓶、阀驱动装置、管网、喷嘴、紧急启动按钮、放气灯、声光报警装置等是否正常。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（2）每周检查保养各台气体灭火控制器，测试其功能是否正常。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（3）每周检查启动瓶药剂贮瓶的压力是否符合出厂充装压力和设计要求（压力表指针是否在绿区），有无泄漏现象。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（4）每周检查试验手动、自动紧急启、停放气装置功能是否正常。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每年</w:t>
      </w:r>
      <w:r>
        <w:rPr>
          <w:rFonts w:hint="eastAsia" w:ascii="宋体" w:hAnsi="宋体" w:eastAsia="宋体" w:cs="宋体"/>
          <w:sz w:val="24"/>
          <w:szCs w:val="24"/>
        </w:rPr>
        <w:t>对电磁阀、瓶头阀解体清洗，加硅油润滑。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每周模拟自动报警系统中的烟、温感探测器同时动作，通风设施是否停止，防火阀是否关闭，检查气瓶的电磁阀是否在规定的时间内动作，控制屏是否有放气信号，消防中心是否有信号，警铃、蜂鸣器是否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（7）每周检查气体灭火系统启动瓶、药剂瓶有无变形，有无腐蚀、脱漆。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（8）每周检查控制气管有无变形或松脱，检查高压软管有无变形、生锈或老化。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（9）每月检查气体保护区域（防护区）内的围护结构、开口等是否符合要求。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（10）每季年对灭火剂储存容器进行承重检查，灭火剂净重不得少于设计量的5%。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（11）每半年对每个防护区进行一次模拟自动启动试验。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机械防排烟系统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（1）每周检查送风、排烟风机机房的工作环境，送风、排烟风机的电源控制箱、送风口、排风口，防火阀、排烟阀等是否处于正常完好状态。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（2）每月按安装总量的 20%和 30%，分别试验手动方式和自动方式启动排烟阀，检查动作及反馈信号是否正常。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（3）每周与火灾报警控制器和消防控制室进行联动试验，检查送风机、排烟机、防火阀等动作及反馈信号是否正常（包括远程启停送、排风一次）。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（4）每月定期对正压送风机（排烟风机和电机）、正压送风阀（排烟阀）进行保养，对转动部位加润滑油并调整风机皮带松紧度等。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（5）每季度按安装总量的30%试验自动方式打开排烟口，启动送风机、排烟机；每半年按安装总量的 20%试验手动方式关闭防火阀；每半年试验自动方式关闭电动防火阀。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防火分隔系统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（1）每周试验手动按钮启动防火卷帘门能否正常升降。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（2）每月按安装总量的 30%进行抽检防火门的启闭功能，检查闭门器及顺序器是否完好。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（3）每季度通过消防控制室进行联动试验，检查防火卷帘门联动功能和反馈信号是否正常。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应急照明及疏散指示系统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（1）每周检查应急照明灯和疏散指示标志是否处于正常完好状态（维护保养，如需更换，应与采购人保卫处联系）。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（2）每周按安装总量的 30%试验应急照明和疏散指示灯的工作、照度和疏散照度是否正常和达到要求。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（3）每周检查应急照明系统和 EPS 系统电源工作是否正常，对电池组放电时间进行检查。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（4）每周检查防火门的密封性是否良好，钢质防火门有无生锈、脱漆现象防火门的开启力度是否适中，闭门器有无漏油或松动。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消防通讯及广播系统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（1）每月检查电话插孔、电梯对讲电话、播音设备、扬声器等是否正常。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（2）每周定期对消防广播主机进行一次检测维护保养。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自动喷水灭火系统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（1）每周对喷淋泵房的工作环境、喷淋泵、电源控制柜、湿式报警阀、管网、阀门、喷头、水泵接合器、储水设备等进行检查，保证处于完好状态。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（2）每周利用报警阀上的放水实验阀进行放水，试验系统供水情况；测试水力警铃工作是否正常，压力开关电信号是否正确。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（3）每周利用末端放水装置进行放水实验，检查水流指示器和压力开关报警功能、自动启泵功能和信号显示是否正常。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（4）每周手动启动喷淋泵，模拟自动控制条件下进行自动启动喷淋泵，进行主、备泵切换功能实验。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（5）每周检查试验湿式报警阀、水力警铃动作是否灵敏，喷淋泵是否启动，消防中心显示是否准确。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（6）每周定期对消防栓系统管网进行全面检查，对腐蚀严重的管道予与更换，对油漆脱落的管道及时除锈刷防锈漆和标志漆。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（7）每月实验测试消防控制联动功能，检查信号反馈是否正常。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水泵、恒压泵、控制柜、联动柜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（1）每周检查试验自动和手动启动消防水泵，观察流量、压力、运行电流是否正常，并做好记录存档。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（2）每周检查各控制柜到消防中心信号是否正常，控制柜各指示灯各功能是否正常。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（3）每周检查联动柜内部电路，测试其功能是否正常，并进行吸尘、紧固接线保养工作。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（4）每周检查消防水泵主备电源自动切换装置是否正常。打开水泵出水管上的放水试验阀，用主电源启动消防水泵，消防水泵启动应正常；关掉主电源，主、备电源切换正常，试验 1～3 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（5）每周测试水泵的相间及对地电阻是否符合要求，并做好记录。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（6）每月测试消防水泵的故障自投功能是否正常。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（7）定期添加或更换水泵的润滑油。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其它消防设备设施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（1）每周检查安全出口、疏散通道是否畅通。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（2）每周系统检查消防水池、消防水箱能否满足正常工作需要，技术参数是否在正常范围内。并检查消防补水泵工作情况。满足正常补水要求。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（3）每季度检查并试验消防电梯的迫降功能是否正常；检查并试验消防电源的末端切换功能是否正常；检查并试验切断非消防电源功能是否正常。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（4）自动跟踪定位射流灭火系统每周对信号阀、水流指示器、电磁阀、电动阀、探测器和联动控制柜的测试。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（5）电气火灾监控设备每天对电气火灾监控设备的查看；每周的电气火灾监控设备的主要组件进行测试和对线路的查看。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（1）成交供应商在维保过程中，严格遵守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各项规章制度和安全管理规范，并保证从事维保的本单位人员在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的行为均由成交供应商承担相应的法律责任。凡维保人员因任何违反安全操作规程所造成的事故，均由成交供应商承担责任。合同签订后，成交供应商首先对维修保养的建筑消防设备进行一次全面检查，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将系统全部移交予成交供应商，自合同签订之日起，由成交供应商负责维护、保养及损坏设施的更换。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提供24小时的随传随到的紧急维修服务，接到采购人设备故障抢修的通知后，立即做好故障抢修的一切准备工作，2小时内派有经验的工程师到采购人指定的故障现场进行维修，并保证在24小时内修复故障（设备本身损坏原因除外），遇有特殊情况不能按时修复的，成交供应商应立即向采购人报告故障原因和存在的困难。如由于供应商工作延误导致人身、财产损失，由供应商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（3）消防自动报警系统在运行期间如出现故障，成交供应商在接到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通知后，必须安排技术人员在 1 个小时内到达现场进行故障排除。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（4）维保内容严格按维保方案进行，不得有任何减少项目的行为。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（5）成交供应商按计划对消防系统定期进行检查、维保。进行自检测，出具检查报告。定期系统检查，对系统进行抽查，并提供维保报告。每次检查完毕，出示检查报告，维保方与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双方签字认可，一式二份，双方各执一份，建立年度维保档案。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（6）如遇重大活动、事件、重要节假日，成交供应商将根据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要求增加人员和巡查次数，确保消防系统安全可靠运行。消防（年度）检测中，成交供应商做好消防年底考核迎检工作及各种消防工作及安全检查，并保证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能够顺利通过考核。考核无法通过或收到罚款单的，维保公司需加倍赔偿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（7）每年至少针对不同区域做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次系统全面的消防演练。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（8）每年至少针对不同对象做4次系统全面的消防安全教育。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（9）违规行为的处罚：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1）出现消防隐患，3天内没有发现，没有解决，没有上报，没有处理的，采购单位下发违规通知书，成交方需在限定时间内整改，同时按2000元/次予以处罚；造成重大损失的，追究刑事责任。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2）值班人员缺岗、串岗、醉酒等违纪行为的，采购单位下发违规通知书，并按5000元/次予以处罚，累计超过3次成交供应商必须更换相关人员。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3）操作失误或不当，造成设施设备或人员损伤，成交供应商承担全部责任，采购人下发违规通知书，并按5000元/次予以处罚；造成严重后果的，追究刑事责任。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4)合同执行过程双方追加约定的其他合同违规行为。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四、报价要求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宋体"/>
          <w:sz w:val="24"/>
          <w:szCs w:val="24"/>
        </w:rPr>
        <w:t>报总价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报价包含所投服务、保险、税费、驻点人员工资、物件更换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人工</w:t>
      </w:r>
      <w:r>
        <w:rPr>
          <w:rFonts w:hint="eastAsia" w:ascii="宋体" w:hAnsi="宋体" w:eastAsia="宋体" w:cs="宋体"/>
          <w:sz w:val="24"/>
          <w:szCs w:val="22"/>
        </w:rPr>
        <w:t>费用和合同期限内约定的服务，根据国家政策性规定人员工资标准、保险、税费等与本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2"/>
        </w:rPr>
        <w:t>相关的一切费用。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2"/>
        </w:rPr>
        <w:t>、无重大安全、质量事故</w:t>
      </w:r>
      <w:r>
        <w:rPr>
          <w:rFonts w:hint="eastAsia" w:ascii="宋体" w:hAnsi="宋体" w:eastAsia="宋体" w:cs="宋体"/>
          <w:b/>
          <w:bCs/>
          <w:sz w:val="24"/>
          <w:szCs w:val="22"/>
          <w:lang w:val="en-US" w:eastAsia="zh-CN"/>
        </w:rPr>
        <w:t>承诺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2"/>
        </w:rPr>
        <w:t>2019年1月1日至今</w:t>
      </w:r>
      <w:r>
        <w:rPr>
          <w:rFonts w:hint="eastAsia" w:ascii="宋体" w:hAnsi="宋体" w:eastAsia="宋体" w:cs="宋体"/>
          <w:b/>
          <w:bCs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2"/>
          <w:lang w:val="en-US" w:eastAsia="zh-CN"/>
        </w:rPr>
        <w:t>供应商承接的项目</w:t>
      </w:r>
      <w:r>
        <w:rPr>
          <w:rFonts w:hint="eastAsia" w:ascii="宋体" w:hAnsi="宋体" w:eastAsia="宋体" w:cs="宋体"/>
          <w:b/>
          <w:bCs/>
          <w:sz w:val="24"/>
          <w:szCs w:val="22"/>
        </w:rPr>
        <w:t>无重大安全、质量事故，</w:t>
      </w:r>
      <w:r>
        <w:rPr>
          <w:rFonts w:hint="eastAsia" w:ascii="宋体" w:hAnsi="宋体" w:eastAsia="宋体" w:cs="宋体"/>
          <w:b/>
          <w:bCs/>
          <w:sz w:val="24"/>
          <w:szCs w:val="22"/>
          <w:lang w:val="en-US" w:eastAsia="zh-CN"/>
        </w:rPr>
        <w:t>响应文件中须提供承诺，未提供的响应无效。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简标宋">
    <w:altName w:val="@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8"/>
    <w:rsid w:val="00013CE9"/>
    <w:rsid w:val="0001437B"/>
    <w:rsid w:val="00020BAE"/>
    <w:rsid w:val="0002417B"/>
    <w:rsid w:val="000534B9"/>
    <w:rsid w:val="00056C4B"/>
    <w:rsid w:val="00066814"/>
    <w:rsid w:val="00077AE3"/>
    <w:rsid w:val="00090AA7"/>
    <w:rsid w:val="000C4D4B"/>
    <w:rsid w:val="000C727C"/>
    <w:rsid w:val="000E4C2E"/>
    <w:rsid w:val="000E580C"/>
    <w:rsid w:val="00100056"/>
    <w:rsid w:val="00173B59"/>
    <w:rsid w:val="00187222"/>
    <w:rsid w:val="00191C41"/>
    <w:rsid w:val="001A3E61"/>
    <w:rsid w:val="001D126F"/>
    <w:rsid w:val="00213F95"/>
    <w:rsid w:val="0024361A"/>
    <w:rsid w:val="002530E1"/>
    <w:rsid w:val="00282A71"/>
    <w:rsid w:val="00282C83"/>
    <w:rsid w:val="002857B4"/>
    <w:rsid w:val="002C64BC"/>
    <w:rsid w:val="002E2B19"/>
    <w:rsid w:val="00314A5C"/>
    <w:rsid w:val="00334D25"/>
    <w:rsid w:val="00346FB3"/>
    <w:rsid w:val="0035277F"/>
    <w:rsid w:val="003547BD"/>
    <w:rsid w:val="003677E5"/>
    <w:rsid w:val="0038585B"/>
    <w:rsid w:val="00387CD0"/>
    <w:rsid w:val="003A0F03"/>
    <w:rsid w:val="003B561E"/>
    <w:rsid w:val="003C4F02"/>
    <w:rsid w:val="00401AB9"/>
    <w:rsid w:val="00415A79"/>
    <w:rsid w:val="00430098"/>
    <w:rsid w:val="00437D5F"/>
    <w:rsid w:val="004978FF"/>
    <w:rsid w:val="004C4C7C"/>
    <w:rsid w:val="004D0099"/>
    <w:rsid w:val="004D3A41"/>
    <w:rsid w:val="004F61CB"/>
    <w:rsid w:val="005005B1"/>
    <w:rsid w:val="0050508A"/>
    <w:rsid w:val="00546E82"/>
    <w:rsid w:val="00572C89"/>
    <w:rsid w:val="00593C35"/>
    <w:rsid w:val="005A1701"/>
    <w:rsid w:val="005A3F57"/>
    <w:rsid w:val="005A6D96"/>
    <w:rsid w:val="005A712A"/>
    <w:rsid w:val="0061790E"/>
    <w:rsid w:val="00627C72"/>
    <w:rsid w:val="00660502"/>
    <w:rsid w:val="00677E5C"/>
    <w:rsid w:val="00692E29"/>
    <w:rsid w:val="006C62F9"/>
    <w:rsid w:val="006E0B4B"/>
    <w:rsid w:val="006E3C9E"/>
    <w:rsid w:val="006E52C2"/>
    <w:rsid w:val="006F1810"/>
    <w:rsid w:val="00725707"/>
    <w:rsid w:val="00755892"/>
    <w:rsid w:val="00757C97"/>
    <w:rsid w:val="00760E94"/>
    <w:rsid w:val="007700C0"/>
    <w:rsid w:val="00783189"/>
    <w:rsid w:val="007867B9"/>
    <w:rsid w:val="00795A84"/>
    <w:rsid w:val="00800D0A"/>
    <w:rsid w:val="00825D8E"/>
    <w:rsid w:val="00831597"/>
    <w:rsid w:val="00843D26"/>
    <w:rsid w:val="00852397"/>
    <w:rsid w:val="008600CA"/>
    <w:rsid w:val="00874925"/>
    <w:rsid w:val="008820E7"/>
    <w:rsid w:val="008863F7"/>
    <w:rsid w:val="008D0EFC"/>
    <w:rsid w:val="008E29B9"/>
    <w:rsid w:val="008E39DA"/>
    <w:rsid w:val="008E63EA"/>
    <w:rsid w:val="008F2EC1"/>
    <w:rsid w:val="008F7299"/>
    <w:rsid w:val="0092460A"/>
    <w:rsid w:val="009338A5"/>
    <w:rsid w:val="00934948"/>
    <w:rsid w:val="00940F79"/>
    <w:rsid w:val="00944320"/>
    <w:rsid w:val="00950128"/>
    <w:rsid w:val="00951BA1"/>
    <w:rsid w:val="00966AFE"/>
    <w:rsid w:val="00981DCC"/>
    <w:rsid w:val="009B792D"/>
    <w:rsid w:val="00A065D4"/>
    <w:rsid w:val="00A42B5D"/>
    <w:rsid w:val="00A47E5F"/>
    <w:rsid w:val="00A838D5"/>
    <w:rsid w:val="00A94F28"/>
    <w:rsid w:val="00AA3521"/>
    <w:rsid w:val="00AE5BDC"/>
    <w:rsid w:val="00B03F3B"/>
    <w:rsid w:val="00B52F09"/>
    <w:rsid w:val="00B65DA3"/>
    <w:rsid w:val="00B9236F"/>
    <w:rsid w:val="00BA0A44"/>
    <w:rsid w:val="00BC4CE4"/>
    <w:rsid w:val="00BE3892"/>
    <w:rsid w:val="00BE3DCB"/>
    <w:rsid w:val="00C041A4"/>
    <w:rsid w:val="00C11C79"/>
    <w:rsid w:val="00C33086"/>
    <w:rsid w:val="00C80B94"/>
    <w:rsid w:val="00CE3A10"/>
    <w:rsid w:val="00D00C55"/>
    <w:rsid w:val="00D00D5B"/>
    <w:rsid w:val="00D10331"/>
    <w:rsid w:val="00D30E9A"/>
    <w:rsid w:val="00D60DF8"/>
    <w:rsid w:val="00DB11AB"/>
    <w:rsid w:val="00DB157F"/>
    <w:rsid w:val="00DC501F"/>
    <w:rsid w:val="00DF3C6A"/>
    <w:rsid w:val="00E03E04"/>
    <w:rsid w:val="00E2749C"/>
    <w:rsid w:val="00E34D7E"/>
    <w:rsid w:val="00E7197A"/>
    <w:rsid w:val="00EA5363"/>
    <w:rsid w:val="00EC6C24"/>
    <w:rsid w:val="00ED3109"/>
    <w:rsid w:val="00EE21A2"/>
    <w:rsid w:val="00EF3272"/>
    <w:rsid w:val="00F04C50"/>
    <w:rsid w:val="00F44F60"/>
    <w:rsid w:val="00F517DC"/>
    <w:rsid w:val="00F753D8"/>
    <w:rsid w:val="00FA6D88"/>
    <w:rsid w:val="00FD40B1"/>
    <w:rsid w:val="00FD6938"/>
    <w:rsid w:val="00FF0481"/>
    <w:rsid w:val="018A4899"/>
    <w:rsid w:val="5632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@微软简标宋" w:hAnsi="@微软简标宋" w:eastAsia="@微软简标宋" w:cs="@微软简标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outlineLvl w:val="0"/>
    </w:pPr>
    <w:rPr>
      <w:rFonts w:ascii="黑体" w:hAnsi="黑体"/>
      <w:sz w:val="28"/>
      <w:szCs w:val="24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9"/>
    <w:qFormat/>
    <w:uiPriority w:val="0"/>
    <w:pPr>
      <w:keepNext/>
      <w:keepLines/>
      <w:spacing w:before="280" w:after="290" w:line="376" w:lineRule="auto"/>
      <w:outlineLvl w:val="3"/>
    </w:pPr>
    <w:rPr>
      <w:rFonts w:ascii="(使用中文字体)" w:hAnsi="(使用中文字体)" w:eastAsia="Cambria Math" w:cs="(使用中文字体)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7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8">
    <w:name w:val="Body Text Indent"/>
    <w:basedOn w:val="1"/>
    <w:link w:val="23"/>
    <w:qFormat/>
    <w:uiPriority w:val="0"/>
    <w:pPr>
      <w:ind w:firstLine="645"/>
    </w:pPr>
    <w:rPr>
      <w:rFonts w:ascii="楷体_GB2312" w:eastAsia="楷体_GB2312" w:hAnsiTheme="minorHAnsi" w:cstheme="minorBidi"/>
      <w:sz w:val="32"/>
      <w:szCs w:val="22"/>
    </w:rPr>
  </w:style>
  <w:style w:type="paragraph" w:styleId="9">
    <w:name w:val="Plain Text"/>
    <w:basedOn w:val="1"/>
    <w:link w:val="31"/>
    <w:unhideWhenUsed/>
    <w:qFormat/>
    <w:uiPriority w:val="0"/>
    <w:rPr>
      <w:rFonts w:eastAsiaTheme="minorEastAsia"/>
      <w:szCs w:val="21"/>
      <w:lang w:val="zh-CN"/>
    </w:r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Body Text 2"/>
    <w:basedOn w:val="1"/>
    <w:link w:val="34"/>
    <w:semiHidden/>
    <w:unhideWhenUsed/>
    <w:uiPriority w:val="99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5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1 Char"/>
    <w:basedOn w:val="17"/>
    <w:link w:val="3"/>
    <w:uiPriority w:val="0"/>
    <w:rPr>
      <w:rFonts w:ascii="黑体" w:hAnsi="黑体" w:eastAsia="宋体" w:cs="Times New Roman"/>
      <w:sz w:val="28"/>
      <w:szCs w:val="24"/>
    </w:rPr>
  </w:style>
  <w:style w:type="character" w:customStyle="1" w:styleId="19">
    <w:name w:val="标题 2 Char"/>
    <w:basedOn w:val="17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页眉 Char"/>
    <w:basedOn w:val="17"/>
    <w:link w:val="12"/>
    <w:uiPriority w:val="0"/>
    <w:rPr>
      <w:sz w:val="18"/>
      <w:szCs w:val="18"/>
    </w:rPr>
  </w:style>
  <w:style w:type="character" w:customStyle="1" w:styleId="21">
    <w:name w:val="页脚 Char"/>
    <w:basedOn w:val="17"/>
    <w:link w:val="11"/>
    <w:qFormat/>
    <w:uiPriority w:val="99"/>
    <w:rPr>
      <w:sz w:val="18"/>
      <w:szCs w:val="18"/>
    </w:rPr>
  </w:style>
  <w:style w:type="paragraph" w:customStyle="1" w:styleId="22">
    <w:name w:val="Char Char Char Char Char Char Char1 Char"/>
    <w:basedOn w:val="1"/>
    <w:qFormat/>
    <w:uiPriority w:val="0"/>
    <w:rPr>
      <w:rFonts w:ascii="Tahoma" w:hAnsi="Tahoma" w:eastAsia="仿宋_GB2312"/>
      <w:sz w:val="24"/>
      <w:szCs w:val="32"/>
    </w:rPr>
  </w:style>
  <w:style w:type="character" w:customStyle="1" w:styleId="23">
    <w:name w:val="正文文本缩进 Char"/>
    <w:link w:val="8"/>
    <w:uiPriority w:val="0"/>
    <w:rPr>
      <w:rFonts w:ascii="楷体_GB2312" w:eastAsia="楷体_GB2312"/>
      <w:sz w:val="32"/>
    </w:rPr>
  </w:style>
  <w:style w:type="character" w:customStyle="1" w:styleId="24">
    <w:name w:val="正文文本缩进 Char1"/>
    <w:basedOn w:val="17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25">
    <w:name w:val="标题 Char"/>
    <w:basedOn w:val="17"/>
    <w:link w:val="1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批注框文本 Char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apple-converted-space"/>
    <w:qFormat/>
    <w:uiPriority w:val="0"/>
  </w:style>
  <w:style w:type="paragraph" w:customStyle="1" w:styleId="28">
    <w:name w:val="正文1"/>
    <w:basedOn w:val="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30">
    <w:name w:val="标题 3 Char"/>
    <w:basedOn w:val="17"/>
    <w:link w:val="5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">
    <w:name w:val="纯文本 Char1"/>
    <w:link w:val="9"/>
    <w:qFormat/>
    <w:locked/>
    <w:uiPriority w:val="0"/>
    <w:rPr>
      <w:rFonts w:ascii="Times New Roman" w:hAnsi="Times New Roman" w:cs="Times New Roman"/>
      <w:szCs w:val="21"/>
      <w:lang w:val="zh-CN" w:eastAsia="zh-CN"/>
    </w:rPr>
  </w:style>
  <w:style w:type="character" w:customStyle="1" w:styleId="32">
    <w:name w:val="纯文本 Char"/>
    <w:basedOn w:val="17"/>
    <w:semiHidden/>
    <w:uiPriority w:val="99"/>
    <w:rPr>
      <w:rFonts w:ascii="宋体" w:hAnsi="Courier New" w:eastAsia="宋体" w:cs="Courier New"/>
      <w:szCs w:val="21"/>
    </w:rPr>
  </w:style>
  <w:style w:type="paragraph" w:customStyle="1" w:styleId="33">
    <w:name w:val="图片"/>
    <w:basedOn w:val="1"/>
    <w:next w:val="7"/>
    <w:uiPriority w:val="0"/>
    <w:pPr>
      <w:keepNext/>
    </w:pPr>
    <w:rPr>
      <w:rFonts w:ascii="Garamond" w:hAnsi="Garamond"/>
      <w:sz w:val="22"/>
      <w:szCs w:val="24"/>
    </w:rPr>
  </w:style>
  <w:style w:type="character" w:customStyle="1" w:styleId="34">
    <w:name w:val="正文文本 2 Char"/>
    <w:basedOn w:val="17"/>
    <w:link w:val="13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3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6">
    <w:name w:val="font5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7">
    <w:name w:val="font7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9">
    <w:name w:val="标题 4 Char"/>
    <w:basedOn w:val="17"/>
    <w:link w:val="6"/>
    <w:uiPriority w:val="0"/>
    <w:rPr>
      <w:rFonts w:ascii="(使用中文字体)" w:hAnsi="(使用中文字体)" w:eastAsia="Cambria Math" w:cs="(使用中文字体)"/>
      <w:b/>
      <w:bCs/>
      <w:sz w:val="28"/>
      <w:szCs w:val="28"/>
    </w:rPr>
  </w:style>
  <w:style w:type="paragraph" w:customStyle="1" w:styleId="40">
    <w:name w:val="正文_0"/>
    <w:qFormat/>
    <w:uiPriority w:val="0"/>
    <w:pPr>
      <w:widowControl w:val="0"/>
      <w:jc w:val="both"/>
    </w:pPr>
    <w:rPr>
      <w:rFonts w:ascii="幼圆" w:hAnsi="幼圆" w:eastAsia="宋体" w:cs="幼圆"/>
      <w:kern w:val="2"/>
      <w:sz w:val="21"/>
      <w:szCs w:val="22"/>
      <w:lang w:val="en-US" w:eastAsia="zh-CN" w:bidi="ar-SA"/>
    </w:rPr>
  </w:style>
  <w:style w:type="paragraph" w:customStyle="1" w:styleId="41">
    <w:name w:val="D&amp;L"/>
    <w:basedOn w:val="12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4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</Words>
  <Characters>59</Characters>
  <Lines>1</Lines>
  <Paragraphs>1</Paragraphs>
  <TotalTime>0</TotalTime>
  <ScaleCrop>false</ScaleCrop>
  <LinksUpToDate>false</LinksUpToDate>
  <CharactersWithSpaces>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2016-04-08T05:36:00Z</dcterms:created>
  <dc:creator>NTKO</dc:creator>
  <cp:lastModifiedBy>聪聪</cp:lastModifiedBy>
  <dcterms:modified xsi:type="dcterms:W3CDTF">2021-10-29T05:50:28Z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31648B7954A8401B95DE11E068933250</vt:lpwstr>
  </property>
</Properties>
</file>